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240" w:before="0"/>
        <w:jc w:val="center"/>
      </w:pPr>
      <w:r>
        <w:rPr>
          <w:rFonts w:ascii="Open Sans" w:hAnsi="Open Sans"/>
          <w:b/>
          <w:color w:val="E07A5F"/>
          <w:sz w:val="20"/>
        </w:rPr>
        <w:t>BENCHMARK REPORT</w:t>
      </w:r>
    </w:p>
    <w:p>
      <w:pPr>
        <w:spacing w:after="320" w:before="0"/>
        <w:jc w:val="center"/>
      </w:pPr>
      <w:r>
        <w:rPr>
          <w:rFonts w:ascii="Figtree" w:hAnsi="Figtree"/>
          <w:b/>
          <w:color w:val="212529"/>
          <w:sz w:val="52"/>
        </w:rPr>
        <w:t>Annual Nonprofit Digital</w:t>
        <w:br/>
        <w:t>Benchmark Report</w:t>
      </w:r>
    </w:p>
    <w:p>
      <w:pPr>
        <w:spacing w:after="480" w:before="0"/>
        <w:jc w:val="center"/>
      </w:pPr>
      <w:r>
        <w:rPr>
          <w:rFonts w:ascii="Open Sans" w:hAnsi="Open Sans"/>
          <w:b w:val="0"/>
          <w:color w:val="495057"/>
          <w:sz w:val="24"/>
        </w:rPr>
        <w:t>Annual tracking of key digital capacity metrics across the nonprofit sector,</w:t>
        <w:br/>
        <w:t>identifying trends, gaps, and areas of progress.</w:t>
      </w:r>
    </w:p>
    <w:p>
      <w:pPr>
        <w:spacing w:before="80" w:after="80"/>
      </w:pPr>
      <w:r>
        <w:rPr>
          <w:color w:val="DEE2E6"/>
          <w:sz w:val="12"/>
        </w:rPr>
        <w:t>────────────────────────────────────────────────────────────────────────</w:t>
      </w:r>
    </w:p>
    <w:p>
      <w:pPr>
        <w:spacing w:after="120" w:before="0"/>
      </w:pPr>
      <w:r>
        <w:rPr>
          <w:rFonts w:ascii="Open Sans" w:hAnsi="Open Sans"/>
          <w:b w:val="0"/>
          <w:color w:val="495057"/>
          <w:sz w:val="16"/>
        </w:rPr>
      </w:r>
    </w:p>
    <w:p>
      <w:pPr>
        <w:spacing w:after="80" w:before="0"/>
        <w:jc w:val="center"/>
      </w:pPr>
      <w:r>
        <w:rPr>
          <w:rFonts w:ascii="Open Sans" w:hAnsi="Open Sans"/>
          <w:b/>
          <w:color w:val="2D6A4F"/>
          <w:sz w:val="22"/>
        </w:rPr>
        <w:t>National Institute for Nonprofit Digital Advancement</w:t>
      </w:r>
    </w:p>
    <w:p>
      <w:pPr>
        <w:spacing w:after="80" w:before="0"/>
        <w:jc w:val="center"/>
      </w:pPr>
      <w:r>
        <w:rPr>
          <w:rFonts w:ascii="Open Sans" w:hAnsi="Open Sans"/>
          <w:b w:val="0"/>
          <w:color w:val="868E96"/>
          <w:sz w:val="18"/>
        </w:rPr>
        <w:t>NINDA</w:t>
      </w:r>
    </w:p>
    <w:p>
      <w:pPr>
        <w:spacing w:after="40" w:before="0"/>
        <w:jc w:val="center"/>
      </w:pPr>
      <w:r>
        <w:rPr>
          <w:rFonts w:ascii="Open Sans" w:hAnsi="Open Sans"/>
          <w:b w:val="0"/>
          <w:color w:val="868E96"/>
          <w:sz w:val="18"/>
        </w:rPr>
        <w:t>Preliminary Draft — 2026 Edition</w:t>
      </w:r>
    </w:p>
    <w:p>
      <w:pPr>
        <w:spacing w:after="120" w:before="0"/>
        <w:jc w:val="center"/>
      </w:pPr>
      <w:r>
        <w:rPr>
          <w:rFonts w:ascii="Open Sans" w:hAnsi="Open Sans"/>
          <w:b w:val="0"/>
          <w:color w:val="2D6A4F"/>
          <w:sz w:val="18"/>
        </w:rPr>
        <w:t>www.ninda.org</w:t>
      </w:r>
    </w:p>
    <w:p>
      <w:r>
        <w:br w:type="page"/>
      </w:r>
    </w:p>
    <w:p>
      <w:pPr>
        <w:spacing w:after="320" w:before="0"/>
      </w:pPr>
      <w:r>
        <w:rPr>
          <w:rFonts w:ascii="Open Sans" w:hAnsi="Open Sans"/>
          <w:b w:val="0"/>
          <w:color w:val="868E96"/>
          <w:sz w:val="16"/>
        </w:rPr>
        <w:t>PRELIMINARY DRAFT — This document is a concept draft produced during the formation phase of the National Institute for Nonprofit Digital Advancement (NINDA). It is intended for internal planning, stakeholder alignment, and institutional positioning purposes. Data points cited are drawn from publicly available sector research and should be independently verified before use in grant applications, public communications, or policy recommendations.</w:t>
      </w:r>
    </w:p>
    <w:p>
      <w:pPr>
        <w:spacing w:before="80" w:after="80"/>
      </w:pPr>
      <w:r>
        <w:rPr>
          <w:color w:val="DEE2E6"/>
          <w:sz w:val="12"/>
        </w:rPr>
        <w:t>────────────────────────────────────────────────────────────────────────</w:t>
      </w:r>
    </w:p>
    <w:p>
      <w:pPr>
        <w:pStyle w:val="Heading1"/>
      </w:pPr>
      <w:r>
        <w:rPr>
          <w:rFonts w:ascii="Figtree" w:hAnsi="Figtree"/>
          <w:color w:val="212529"/>
        </w:rPr>
        <w:t>Executive Summary</w:t>
      </w:r>
    </w:p>
    <w:p>
      <w:pPr>
        <w:spacing w:after="120" w:before="0"/>
      </w:pPr>
      <w:r>
        <w:rPr>
          <w:rFonts w:ascii="Open Sans" w:hAnsi="Open Sans"/>
          <w:b w:val="0"/>
          <w:color w:val="495057"/>
          <w:sz w:val="22"/>
        </w:rPr>
        <w:t>The Annual Nonprofit Digital Benchmark Report is designed to be the sector's definitive source for tracking digital capacity over time. This inaugural edition establishes baseline metrics across key dimensions of nonprofit digital readiness and sets the foundation for annual longitudinal analysis.</w:t>
      </w:r>
    </w:p>
    <w:p>
      <w:pPr>
        <w:spacing w:after="120" w:before="0"/>
      </w:pPr>
      <w:r>
        <w:rPr>
          <w:rFonts w:ascii="Open Sans" w:hAnsi="Open Sans"/>
          <w:b w:val="0"/>
          <w:color w:val="495057"/>
          <w:sz w:val="22"/>
        </w:rPr>
        <w:t>Future editions will track changes year-over-year, identify emerging trends, and highlight organizations and programs that are making measurable progress in closing the digital divide.</w:t>
      </w:r>
    </w:p>
    <w:p>
      <w:pPr>
        <w:pStyle w:val="Heading1"/>
      </w:pPr>
      <w:r>
        <w:rPr>
          <w:rFonts w:ascii="Figtree" w:hAnsi="Figtree"/>
          <w:color w:val="212529"/>
        </w:rPr>
        <w:t>Benchmark Categories</w:t>
      </w:r>
    </w:p>
    <w:p>
      <w:pPr>
        <w:pStyle w:val="Heading2"/>
      </w:pPr>
      <w:r>
        <w:rPr>
          <w:rFonts w:ascii="Figtree" w:hAnsi="Figtree"/>
          <w:color w:val="212529"/>
        </w:rPr>
        <w:t>Digital Infrastructure</w:t>
      </w:r>
    </w:p>
    <w:p>
      <w:pPr>
        <w:spacing w:after="120" w:before="120"/>
      </w:pPr>
      <w:r>
        <w:rPr>
          <w:rFonts w:ascii="Open Sans" w:hAnsi="Open Sans"/>
          <w:b/>
          <w:color w:val="2D6A4F"/>
          <w:sz w:val="22"/>
        </w:rPr>
        <w:t>Website modernization</w:t>
      </w:r>
    </w:p>
    <w:p>
      <w:pPr>
        <w:spacing w:after="80" w:before="0"/>
      </w:pPr>
      <w:r>
        <w:rPr>
          <w:rFonts w:ascii="Open Sans" w:hAnsi="Open Sans"/>
          <w:b w:val="0"/>
          <w:color w:val="495057"/>
          <w:sz w:val="22"/>
        </w:rPr>
        <w:t>Percentage of nonprofits with mobile-responsive, accessible websites</w:t>
      </w:r>
    </w:p>
    <w:p>
      <w:pPr>
        <w:spacing w:after="120" w:before="120"/>
      </w:pPr>
      <w:r>
        <w:rPr>
          <w:rFonts w:ascii="Open Sans" w:hAnsi="Open Sans"/>
          <w:b/>
          <w:color w:val="2D6A4F"/>
          <w:sz w:val="22"/>
        </w:rPr>
        <w:t>CRM adoption</w:t>
      </w:r>
    </w:p>
    <w:p>
      <w:pPr>
        <w:spacing w:after="80" w:before="0"/>
      </w:pPr>
      <w:r>
        <w:rPr>
          <w:rFonts w:ascii="Open Sans" w:hAnsi="Open Sans"/>
          <w:b w:val="0"/>
          <w:color w:val="495057"/>
          <w:sz w:val="22"/>
        </w:rPr>
        <w:t>Percentage using a dedicated constituent relationship management system</w:t>
      </w:r>
    </w:p>
    <w:p>
      <w:pPr>
        <w:spacing w:after="120" w:before="120"/>
      </w:pPr>
      <w:r>
        <w:rPr>
          <w:rFonts w:ascii="Open Sans" w:hAnsi="Open Sans"/>
          <w:b/>
          <w:color w:val="2D6A4F"/>
          <w:sz w:val="22"/>
        </w:rPr>
        <w:t>Cloud adoption</w:t>
      </w:r>
    </w:p>
    <w:p>
      <w:pPr>
        <w:spacing w:after="80" w:before="0"/>
      </w:pPr>
      <w:r>
        <w:rPr>
          <w:rFonts w:ascii="Open Sans" w:hAnsi="Open Sans"/>
          <w:b w:val="0"/>
          <w:color w:val="495057"/>
          <w:sz w:val="22"/>
        </w:rPr>
        <w:t>Percentage with primary systems hosted in cloud environments</w:t>
      </w:r>
    </w:p>
    <w:p>
      <w:pPr>
        <w:spacing w:after="120" w:before="120"/>
      </w:pPr>
      <w:r>
        <w:rPr>
          <w:rFonts w:ascii="Open Sans" w:hAnsi="Open Sans"/>
          <w:b/>
          <w:color w:val="2D6A4F"/>
          <w:sz w:val="22"/>
        </w:rPr>
        <w:t>System integration</w:t>
      </w:r>
    </w:p>
    <w:p>
      <w:pPr>
        <w:spacing w:after="80" w:before="0"/>
      </w:pPr>
      <w:r>
        <w:rPr>
          <w:rFonts w:ascii="Open Sans" w:hAnsi="Open Sans"/>
          <w:b w:val="0"/>
          <w:color w:val="495057"/>
          <w:sz w:val="22"/>
        </w:rPr>
        <w:t>Percentage with integrated (vs. siloed) digital systems</w:t>
      </w:r>
    </w:p>
    <w:p>
      <w:pPr>
        <w:pStyle w:val="Heading2"/>
      </w:pPr>
      <w:r>
        <w:rPr>
          <w:rFonts w:ascii="Figtree" w:hAnsi="Figtree"/>
          <w:color w:val="212529"/>
        </w:rPr>
        <w:t>Communications &amp; Engagement</w:t>
      </w:r>
    </w:p>
    <w:p>
      <w:pPr>
        <w:spacing w:after="120" w:before="120"/>
      </w:pPr>
      <w:r>
        <w:rPr>
          <w:rFonts w:ascii="Open Sans" w:hAnsi="Open Sans"/>
          <w:b/>
          <w:color w:val="2D6A4F"/>
          <w:sz w:val="22"/>
        </w:rPr>
        <w:t>Email infrastructure</w:t>
      </w:r>
    </w:p>
    <w:p>
      <w:pPr>
        <w:spacing w:after="80" w:before="0"/>
      </w:pPr>
      <w:r>
        <w:rPr>
          <w:rFonts w:ascii="Open Sans" w:hAnsi="Open Sans"/>
          <w:b w:val="0"/>
          <w:color w:val="495057"/>
          <w:sz w:val="22"/>
        </w:rPr>
        <w:t>Percentage with professional email marketing platform</w:t>
      </w:r>
    </w:p>
    <w:p>
      <w:pPr>
        <w:spacing w:after="120" w:before="120"/>
      </w:pPr>
      <w:r>
        <w:rPr>
          <w:rFonts w:ascii="Open Sans" w:hAnsi="Open Sans"/>
          <w:b/>
          <w:color w:val="2D6A4F"/>
          <w:sz w:val="22"/>
        </w:rPr>
        <w:t>Social media strategy</w:t>
      </w:r>
    </w:p>
    <w:p>
      <w:pPr>
        <w:spacing w:after="80" w:before="0"/>
      </w:pPr>
      <w:r>
        <w:rPr>
          <w:rFonts w:ascii="Open Sans" w:hAnsi="Open Sans"/>
          <w:b w:val="0"/>
          <w:color w:val="495057"/>
          <w:sz w:val="22"/>
        </w:rPr>
        <w:t>Percentage with documented social media strategy</w:t>
      </w:r>
    </w:p>
    <w:p>
      <w:pPr>
        <w:spacing w:after="120" w:before="120"/>
      </w:pPr>
      <w:r>
        <w:rPr>
          <w:rFonts w:ascii="Open Sans" w:hAnsi="Open Sans"/>
          <w:b/>
          <w:color w:val="2D6A4F"/>
          <w:sz w:val="22"/>
        </w:rPr>
        <w:t>Content production</w:t>
      </w:r>
    </w:p>
    <w:p>
      <w:pPr>
        <w:spacing w:after="80" w:before="0"/>
      </w:pPr>
      <w:r>
        <w:rPr>
          <w:rFonts w:ascii="Open Sans" w:hAnsi="Open Sans"/>
          <w:b w:val="0"/>
          <w:color w:val="495057"/>
          <w:sz w:val="22"/>
        </w:rPr>
        <w:t>Average frequency of original content publication</w:t>
      </w:r>
    </w:p>
    <w:p>
      <w:pPr>
        <w:spacing w:after="120" w:before="120"/>
      </w:pPr>
      <w:r>
        <w:rPr>
          <w:rFonts w:ascii="Open Sans" w:hAnsi="Open Sans"/>
          <w:b/>
          <w:color w:val="2D6A4F"/>
          <w:sz w:val="22"/>
        </w:rPr>
        <w:t>Multi-channel engagement</w:t>
      </w:r>
    </w:p>
    <w:p>
      <w:pPr>
        <w:spacing w:after="80" w:before="0"/>
      </w:pPr>
      <w:r>
        <w:rPr>
          <w:rFonts w:ascii="Open Sans" w:hAnsi="Open Sans"/>
          <w:b w:val="0"/>
          <w:color w:val="495057"/>
          <w:sz w:val="22"/>
        </w:rPr>
        <w:t>Percentage using 3+ coordinated digital engagement channels</w:t>
      </w:r>
    </w:p>
    <w:p>
      <w:pPr>
        <w:pStyle w:val="Heading2"/>
      </w:pPr>
      <w:r>
        <w:rPr>
          <w:rFonts w:ascii="Figtree" w:hAnsi="Figtree"/>
          <w:color w:val="212529"/>
        </w:rPr>
        <w:t>Data &amp; Analytics</w:t>
      </w:r>
    </w:p>
    <w:p>
      <w:pPr>
        <w:spacing w:after="120" w:before="120"/>
      </w:pPr>
      <w:r>
        <w:rPr>
          <w:rFonts w:ascii="Open Sans" w:hAnsi="Open Sans"/>
          <w:b/>
          <w:color w:val="2D6A4F"/>
          <w:sz w:val="22"/>
        </w:rPr>
        <w:t>Data management</w:t>
      </w:r>
    </w:p>
    <w:p>
      <w:pPr>
        <w:spacing w:after="80" w:before="0"/>
      </w:pPr>
      <w:r>
        <w:rPr>
          <w:rFonts w:ascii="Open Sans" w:hAnsi="Open Sans"/>
          <w:b w:val="0"/>
          <w:color w:val="495057"/>
          <w:sz w:val="22"/>
        </w:rPr>
        <w:t>Percentage with formal data management policies</w:t>
      </w:r>
    </w:p>
    <w:p>
      <w:pPr>
        <w:spacing w:after="120" w:before="120"/>
      </w:pPr>
      <w:r>
        <w:rPr>
          <w:rFonts w:ascii="Open Sans" w:hAnsi="Open Sans"/>
          <w:b/>
          <w:color w:val="2D6A4F"/>
          <w:sz w:val="22"/>
        </w:rPr>
        <w:t>Outcome measurement</w:t>
      </w:r>
    </w:p>
    <w:p>
      <w:pPr>
        <w:spacing w:after="80" w:before="0"/>
      </w:pPr>
      <w:r>
        <w:rPr>
          <w:rFonts w:ascii="Open Sans" w:hAnsi="Open Sans"/>
          <w:b w:val="0"/>
          <w:color w:val="495057"/>
          <w:sz w:val="22"/>
        </w:rPr>
        <w:t>Percentage tracking program outcomes digitally</w:t>
      </w:r>
    </w:p>
    <w:p>
      <w:pPr>
        <w:spacing w:after="120" w:before="120"/>
      </w:pPr>
      <w:r>
        <w:rPr>
          <w:rFonts w:ascii="Open Sans" w:hAnsi="Open Sans"/>
          <w:b/>
          <w:color w:val="2D6A4F"/>
          <w:sz w:val="22"/>
        </w:rPr>
        <w:t>Reporting capability</w:t>
      </w:r>
    </w:p>
    <w:p>
      <w:pPr>
        <w:spacing w:after="80" w:before="0"/>
      </w:pPr>
      <w:r>
        <w:rPr>
          <w:rFonts w:ascii="Open Sans" w:hAnsi="Open Sans"/>
          <w:b w:val="0"/>
          <w:color w:val="495057"/>
          <w:sz w:val="22"/>
        </w:rPr>
        <w:t>Percentage able to produce data-driven impact reports</w:t>
      </w:r>
    </w:p>
    <w:p>
      <w:pPr>
        <w:spacing w:after="120" w:before="120"/>
      </w:pPr>
      <w:r>
        <w:rPr>
          <w:rFonts w:ascii="Open Sans" w:hAnsi="Open Sans"/>
          <w:b/>
          <w:color w:val="2D6A4F"/>
          <w:sz w:val="22"/>
        </w:rPr>
        <w:t>Data-informed decisions</w:t>
      </w:r>
    </w:p>
    <w:p>
      <w:pPr>
        <w:spacing w:after="80" w:before="0"/>
      </w:pPr>
      <w:r>
        <w:rPr>
          <w:rFonts w:ascii="Open Sans" w:hAnsi="Open Sans"/>
          <w:b w:val="0"/>
          <w:color w:val="495057"/>
          <w:sz w:val="22"/>
        </w:rPr>
        <w:t>Percentage where data regularly informs strategic decisions</w:t>
      </w:r>
    </w:p>
    <w:p>
      <w:pPr>
        <w:pStyle w:val="Heading2"/>
      </w:pPr>
      <w:r>
        <w:rPr>
          <w:rFonts w:ascii="Figtree" w:hAnsi="Figtree"/>
          <w:color w:val="212529"/>
        </w:rPr>
        <w:t>People &amp; Culture</w:t>
      </w:r>
    </w:p>
    <w:p>
      <w:pPr>
        <w:spacing w:after="120" w:before="120"/>
      </w:pPr>
      <w:r>
        <w:rPr>
          <w:rFonts w:ascii="Open Sans" w:hAnsi="Open Sans"/>
          <w:b/>
          <w:color w:val="2D6A4F"/>
          <w:sz w:val="22"/>
        </w:rPr>
        <w:t>Dedicated digital staff</w:t>
      </w:r>
    </w:p>
    <w:p>
      <w:pPr>
        <w:spacing w:after="80" w:before="0"/>
      </w:pPr>
      <w:r>
        <w:rPr>
          <w:rFonts w:ascii="Open Sans" w:hAnsi="Open Sans"/>
          <w:b w:val="0"/>
          <w:color w:val="495057"/>
          <w:sz w:val="22"/>
        </w:rPr>
        <w:t>Percentage with at least one dedicated digital/technology role</w:t>
      </w:r>
    </w:p>
    <w:p>
      <w:pPr>
        <w:spacing w:after="120" w:before="120"/>
      </w:pPr>
      <w:r>
        <w:rPr>
          <w:rFonts w:ascii="Open Sans" w:hAnsi="Open Sans"/>
          <w:b/>
          <w:color w:val="2D6A4F"/>
          <w:sz w:val="22"/>
        </w:rPr>
        <w:t>Digital literacy training</w:t>
      </w:r>
    </w:p>
    <w:p>
      <w:pPr>
        <w:spacing w:after="80" w:before="0"/>
      </w:pPr>
      <w:r>
        <w:rPr>
          <w:rFonts w:ascii="Open Sans" w:hAnsi="Open Sans"/>
          <w:b w:val="0"/>
          <w:color w:val="495057"/>
          <w:sz w:val="22"/>
        </w:rPr>
        <w:t>Percentage providing regular staff digital skills training</w:t>
      </w:r>
    </w:p>
    <w:p>
      <w:pPr>
        <w:spacing w:after="120" w:before="120"/>
      </w:pPr>
      <w:r>
        <w:rPr>
          <w:rFonts w:ascii="Open Sans" w:hAnsi="Open Sans"/>
          <w:b/>
          <w:color w:val="2D6A4F"/>
          <w:sz w:val="22"/>
        </w:rPr>
        <w:t>Leadership engagement</w:t>
      </w:r>
    </w:p>
    <w:p>
      <w:pPr>
        <w:spacing w:after="80" w:before="0"/>
      </w:pPr>
      <w:r>
        <w:rPr>
          <w:rFonts w:ascii="Open Sans" w:hAnsi="Open Sans"/>
          <w:b w:val="0"/>
          <w:color w:val="495057"/>
          <w:sz w:val="22"/>
        </w:rPr>
        <w:t>Percentage where ED/CEO actively champions digital strategy</w:t>
      </w:r>
    </w:p>
    <w:p>
      <w:pPr>
        <w:spacing w:after="120" w:before="120"/>
      </w:pPr>
      <w:r>
        <w:rPr>
          <w:rFonts w:ascii="Open Sans" w:hAnsi="Open Sans"/>
          <w:b/>
          <w:color w:val="2D6A4F"/>
          <w:sz w:val="22"/>
        </w:rPr>
        <w:t>Board digital literacy</w:t>
      </w:r>
    </w:p>
    <w:p>
      <w:pPr>
        <w:spacing w:after="80" w:before="0"/>
      </w:pPr>
      <w:r>
        <w:rPr>
          <w:rFonts w:ascii="Open Sans" w:hAnsi="Open Sans"/>
          <w:b w:val="0"/>
          <w:color w:val="495057"/>
          <w:sz w:val="22"/>
        </w:rPr>
        <w:t>Percentage where board discusses technology as a strategic issue</w:t>
      </w:r>
    </w:p>
    <w:p>
      <w:pPr>
        <w:pStyle w:val="Heading2"/>
      </w:pPr>
      <w:r>
        <w:rPr>
          <w:rFonts w:ascii="Figtree" w:hAnsi="Figtree"/>
          <w:color w:val="212529"/>
        </w:rPr>
        <w:t>Strategy &amp; Investment</w:t>
      </w:r>
    </w:p>
    <w:p>
      <w:pPr>
        <w:spacing w:after="120" w:before="120"/>
      </w:pPr>
      <w:r>
        <w:rPr>
          <w:rFonts w:ascii="Open Sans" w:hAnsi="Open Sans"/>
          <w:b/>
          <w:color w:val="2D6A4F"/>
          <w:sz w:val="22"/>
        </w:rPr>
        <w:t>Formal digital strategy</w:t>
      </w:r>
    </w:p>
    <w:p>
      <w:pPr>
        <w:spacing w:after="80" w:before="0"/>
      </w:pPr>
      <w:r>
        <w:rPr>
          <w:rFonts w:ascii="Open Sans" w:hAnsi="Open Sans"/>
          <w:b w:val="0"/>
          <w:color w:val="495057"/>
          <w:sz w:val="22"/>
        </w:rPr>
        <w:t>Percentage with a documented, board-approved digital strategy</w:t>
      </w:r>
    </w:p>
    <w:p>
      <w:pPr>
        <w:spacing w:after="120" w:before="120"/>
      </w:pPr>
      <w:r>
        <w:rPr>
          <w:rFonts w:ascii="Open Sans" w:hAnsi="Open Sans"/>
          <w:b/>
          <w:color w:val="2D6A4F"/>
          <w:sz w:val="22"/>
        </w:rPr>
        <w:t>Technology budget</w:t>
      </w:r>
    </w:p>
    <w:p>
      <w:pPr>
        <w:spacing w:after="80" w:before="0"/>
      </w:pPr>
      <w:r>
        <w:rPr>
          <w:rFonts w:ascii="Open Sans" w:hAnsi="Open Sans"/>
          <w:b w:val="0"/>
          <w:color w:val="495057"/>
          <w:sz w:val="22"/>
        </w:rPr>
        <w:t>Average percentage of budget allocated to technology</w:t>
      </w:r>
    </w:p>
    <w:p>
      <w:pPr>
        <w:spacing w:after="120" w:before="120"/>
      </w:pPr>
      <w:r>
        <w:rPr>
          <w:rFonts w:ascii="Open Sans" w:hAnsi="Open Sans"/>
          <w:b/>
          <w:color w:val="2D6A4F"/>
          <w:sz w:val="22"/>
        </w:rPr>
        <w:t>Multi-year planning</w:t>
      </w:r>
    </w:p>
    <w:p>
      <w:pPr>
        <w:spacing w:after="80" w:before="0"/>
      </w:pPr>
      <w:r>
        <w:rPr>
          <w:rFonts w:ascii="Open Sans" w:hAnsi="Open Sans"/>
          <w:b w:val="0"/>
          <w:color w:val="495057"/>
          <w:sz w:val="22"/>
        </w:rPr>
        <w:t>Percentage with multi-year technology investment plans</w:t>
      </w:r>
    </w:p>
    <w:p>
      <w:pPr>
        <w:spacing w:after="120" w:before="120"/>
      </w:pPr>
      <w:r>
        <w:rPr>
          <w:rFonts w:ascii="Open Sans" w:hAnsi="Open Sans"/>
          <w:b/>
          <w:color w:val="2D6A4F"/>
          <w:sz w:val="22"/>
        </w:rPr>
        <w:t>Digital in strategic plan</w:t>
      </w:r>
    </w:p>
    <w:p>
      <w:pPr>
        <w:spacing w:after="80" w:before="0"/>
      </w:pPr>
      <w:r>
        <w:rPr>
          <w:rFonts w:ascii="Open Sans" w:hAnsi="Open Sans"/>
          <w:b w:val="0"/>
          <w:color w:val="495057"/>
          <w:sz w:val="22"/>
        </w:rPr>
        <w:t>Percentage where digital is explicitly included in strategic plan</w:t>
      </w:r>
    </w:p>
    <w:p>
      <w:pPr>
        <w:pStyle w:val="Heading1"/>
      </w:pPr>
      <w:r>
        <w:rPr>
          <w:rFonts w:ascii="Figtree" w:hAnsi="Figtree"/>
          <w:color w:val="212529"/>
        </w:rPr>
        <w:t>Methodology</w:t>
      </w:r>
    </w:p>
    <w:p>
      <w:pPr>
        <w:spacing w:after="120" w:before="0"/>
      </w:pPr>
      <w:r>
        <w:rPr>
          <w:rFonts w:ascii="Open Sans" w:hAnsi="Open Sans"/>
          <w:b w:val="0"/>
          <w:color w:val="495057"/>
          <w:sz w:val="22"/>
        </w:rPr>
        <w:t>The benchmark report will be developed using a mixed-methods approach:</w:t>
      </w:r>
    </w:p>
    <w:p>
      <w:pPr>
        <w:spacing w:after="80" w:before="0"/>
      </w:pPr>
      <w:r>
        <w:rPr>
          <w:rFonts w:ascii="Open Sans" w:hAnsi="Open Sans"/>
          <w:b w:val="0"/>
          <w:color w:val="495057"/>
          <w:sz w:val="22"/>
        </w:rPr>
        <w:t>•  National survey of nonprofit organizations across all budget sizes and mission areas</w:t>
      </w:r>
    </w:p>
    <w:p>
      <w:pPr>
        <w:spacing w:after="80" w:before="0"/>
      </w:pPr>
      <w:r>
        <w:rPr>
          <w:rFonts w:ascii="Open Sans" w:hAnsi="Open Sans"/>
          <w:b w:val="0"/>
          <w:color w:val="495057"/>
          <w:sz w:val="22"/>
        </w:rPr>
        <w:t>•  Analysis of publicly available data from GuideStar/Candid, NCCS, and sector research</w:t>
      </w:r>
    </w:p>
    <w:p>
      <w:pPr>
        <w:spacing w:after="80" w:before="0"/>
      </w:pPr>
      <w:r>
        <w:rPr>
          <w:rFonts w:ascii="Open Sans" w:hAnsi="Open Sans"/>
          <w:b w:val="0"/>
          <w:color w:val="495057"/>
          <w:sz w:val="22"/>
        </w:rPr>
        <w:t>•  In-depth interviews with nonprofit leaders, technology providers, and funders</w:t>
      </w:r>
    </w:p>
    <w:p>
      <w:pPr>
        <w:spacing w:after="80" w:before="0"/>
      </w:pPr>
      <w:r>
        <w:rPr>
          <w:rFonts w:ascii="Open Sans" w:hAnsi="Open Sans"/>
          <w:b w:val="0"/>
          <w:color w:val="495057"/>
          <w:sz w:val="22"/>
        </w:rPr>
        <w:t>•  Case studies of organizations at different stages of digital maturity</w:t>
      </w:r>
    </w:p>
    <w:p>
      <w:pPr>
        <w:spacing w:after="80" w:before="0"/>
      </w:pPr>
      <w:r>
        <w:rPr>
          <w:rFonts w:ascii="Open Sans" w:hAnsi="Open Sans"/>
          <w:b w:val="0"/>
          <w:color w:val="495057"/>
          <w:sz w:val="22"/>
        </w:rPr>
        <w:t>•  Expert panel review and validation of findings</w:t>
      </w:r>
    </w:p>
    <w:p>
      <w:pPr>
        <w:pStyle w:val="Heading1"/>
      </w:pPr>
      <w:r>
        <w:rPr>
          <w:rFonts w:ascii="Figtree" w:hAnsi="Figtree"/>
          <w:color w:val="212529"/>
        </w:rPr>
        <w:t>Future Editions</w:t>
      </w:r>
    </w:p>
    <w:p>
      <w:pPr>
        <w:spacing w:after="120" w:before="0"/>
      </w:pPr>
      <w:r>
        <w:rPr>
          <w:rFonts w:ascii="Open Sans" w:hAnsi="Open Sans"/>
          <w:b w:val="0"/>
          <w:color w:val="495057"/>
          <w:sz w:val="22"/>
        </w:rPr>
        <w:t>This report is designed as an annual publication. Future editions will:</w:t>
      </w:r>
    </w:p>
    <w:p>
      <w:pPr>
        <w:spacing w:after="80" w:before="0"/>
      </w:pPr>
      <w:r>
        <w:rPr>
          <w:rFonts w:ascii="Open Sans" w:hAnsi="Open Sans"/>
          <w:b w:val="0"/>
          <w:color w:val="495057"/>
          <w:sz w:val="22"/>
        </w:rPr>
        <w:t>•  Track year-over-year changes in all benchmark metrics</w:t>
      </w:r>
    </w:p>
    <w:p>
      <w:pPr>
        <w:spacing w:after="80" w:before="0"/>
      </w:pPr>
      <w:r>
        <w:rPr>
          <w:rFonts w:ascii="Open Sans" w:hAnsi="Open Sans"/>
          <w:b w:val="0"/>
          <w:color w:val="495057"/>
          <w:sz w:val="22"/>
        </w:rPr>
        <w:t>•  Identify emerging trends and shifting priorities</w:t>
      </w:r>
    </w:p>
    <w:p>
      <w:pPr>
        <w:spacing w:after="80" w:before="0"/>
      </w:pPr>
      <w:r>
        <w:rPr>
          <w:rFonts w:ascii="Open Sans" w:hAnsi="Open Sans"/>
          <w:b w:val="0"/>
          <w:color w:val="495057"/>
          <w:sz w:val="22"/>
        </w:rPr>
        <w:t>•  Highlight exemplary organizations and effective interventions</w:t>
      </w:r>
    </w:p>
    <w:p>
      <w:pPr>
        <w:spacing w:after="80" w:before="0"/>
      </w:pPr>
      <w:r>
        <w:rPr>
          <w:rFonts w:ascii="Open Sans" w:hAnsi="Open Sans"/>
          <w:b w:val="0"/>
          <w:color w:val="495057"/>
          <w:sz w:val="22"/>
        </w:rPr>
        <w:t>•  Provide segmented analysis by organization size, mission area, and geography</w:t>
      </w:r>
    </w:p>
    <w:p>
      <w:pPr>
        <w:spacing w:after="80" w:before="0"/>
      </w:pPr>
      <w:r>
        <w:rPr>
          <w:rFonts w:ascii="Open Sans" w:hAnsi="Open Sans"/>
          <w:b w:val="0"/>
          <w:color w:val="495057"/>
          <w:sz w:val="22"/>
        </w:rPr>
        <w:t>•  Include policy and funding recommendations based on observed trends</w:t>
      </w:r>
    </w:p>
    <w:p>
      <w:pPr>
        <w:pStyle w:val="Heading1"/>
      </w:pPr>
      <w:r>
        <w:rPr>
          <w:rFonts w:ascii="Figtree" w:hAnsi="Figtree"/>
          <w:color w:val="212529"/>
        </w:rPr>
        <w:t>Conclusion</w:t>
      </w:r>
    </w:p>
    <w:p>
      <w:pPr>
        <w:spacing w:after="120" w:before="0"/>
      </w:pPr>
      <w:r>
        <w:rPr>
          <w:rFonts w:ascii="Open Sans" w:hAnsi="Open Sans"/>
          <w:b w:val="0"/>
          <w:color w:val="495057"/>
          <w:sz w:val="22"/>
        </w:rPr>
        <w:t>What gets measured gets managed. By establishing and tracking consistent benchmarks for nonprofit digital capacity, NINDA aims to make the sector's digital divide visible, trackable, and ultimately solvable. This report is a tool for the entire sector — and we invite organizations, funders, and policymakers to use it as a foundation for strategic decision-making.</w:t>
      </w:r>
    </w:p>
    <w:p>
      <w:pPr>
        <w:spacing w:after="120" w:before="0"/>
      </w:pPr>
      <w:r>
        <w:rPr>
          <w:rFonts w:ascii="Open Sans" w:hAnsi="Open Sans"/>
          <w:b w:val="0"/>
          <w:color w:val="495057"/>
          <w:sz w:val="12"/>
        </w:rPr>
      </w:r>
    </w:p>
    <w:p>
      <w:pPr>
        <w:spacing w:before="80" w:after="80"/>
      </w:pPr>
      <w:r>
        <w:rPr>
          <w:color w:val="DEE2E6"/>
          <w:sz w:val="12"/>
        </w:rPr>
        <w:t>────────────────────────────────────────────────────────────────────────</w:t>
      </w:r>
    </w:p>
    <w:p>
      <w:pPr>
        <w:spacing w:after="0" w:before="0"/>
      </w:pPr>
      <w:r>
        <w:rPr>
          <w:rFonts w:ascii="Open Sans" w:hAnsi="Open Sans"/>
          <w:b w:val="0"/>
          <w:color w:val="868E96"/>
          <w:sz w:val="14"/>
        </w:rPr>
        <w:t>© 2026 National Institute for Nonprofit Digital Advancement (NINDA). All rights reserved. This document may not be reproduced or distributed without written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