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240" w:before="0"/>
        <w:jc w:val="center"/>
      </w:pPr>
      <w:r>
        <w:rPr>
          <w:rFonts w:ascii="Open Sans" w:hAnsi="Open Sans"/>
          <w:b/>
          <w:color w:val="E07A5F"/>
          <w:sz w:val="20"/>
        </w:rPr>
        <w:t>WHITEPAPER</w:t>
      </w:r>
    </w:p>
    <w:p>
      <w:pPr>
        <w:spacing w:after="320" w:before="0"/>
        <w:jc w:val="center"/>
      </w:pPr>
      <w:r>
        <w:rPr>
          <w:rFonts w:ascii="Figtree" w:hAnsi="Figtree"/>
          <w:b/>
          <w:color w:val="212529"/>
          <w:sz w:val="52"/>
        </w:rPr>
        <w:t>Technology as a Public Good:</w:t>
        <w:br/>
        <w:t>Digital Infrastructure for the Social Sector</w:t>
      </w:r>
    </w:p>
    <w:p>
      <w:pPr>
        <w:spacing w:after="480" w:before="0"/>
        <w:jc w:val="center"/>
      </w:pPr>
      <w:r>
        <w:rPr>
          <w:rFonts w:ascii="Open Sans" w:hAnsi="Open Sans"/>
          <w:b w:val="0"/>
          <w:color w:val="495057"/>
          <w:sz w:val="24"/>
        </w:rPr>
        <w:t>Making the case that nonprofit digital infrastructure should be treated</w:t>
        <w:br/>
        <w:t>as essential public-interest infrastructure, not a luxury.</w:t>
      </w:r>
    </w:p>
    <w:p>
      <w:pPr>
        <w:spacing w:before="80" w:after="80"/>
      </w:pPr>
      <w:r>
        <w:rPr>
          <w:color w:val="DEE2E6"/>
          <w:sz w:val="12"/>
        </w:rPr>
        <w:t>────────────────────────────────────────────────────────────────────────</w:t>
      </w:r>
    </w:p>
    <w:p>
      <w:pPr>
        <w:spacing w:after="120" w:before="0"/>
      </w:pPr>
      <w:r>
        <w:rPr>
          <w:rFonts w:ascii="Open Sans" w:hAnsi="Open Sans"/>
          <w:b w:val="0"/>
          <w:color w:val="495057"/>
          <w:sz w:val="16"/>
        </w:rPr>
      </w:r>
    </w:p>
    <w:p>
      <w:pPr>
        <w:spacing w:after="80" w:before="0"/>
        <w:jc w:val="center"/>
      </w:pPr>
      <w:r>
        <w:rPr>
          <w:rFonts w:ascii="Open Sans" w:hAnsi="Open Sans"/>
          <w:b/>
          <w:color w:val="2D6A4F"/>
          <w:sz w:val="22"/>
        </w:rPr>
        <w:t>National Institute for Nonprofit Digital Advancement</w:t>
      </w:r>
    </w:p>
    <w:p>
      <w:pPr>
        <w:spacing w:after="80" w:before="0"/>
        <w:jc w:val="center"/>
      </w:pPr>
      <w:r>
        <w:rPr>
          <w:rFonts w:ascii="Open Sans" w:hAnsi="Open Sans"/>
          <w:b w:val="0"/>
          <w:color w:val="868E96"/>
          <w:sz w:val="18"/>
        </w:rPr>
        <w:t>NINDA</w:t>
      </w:r>
    </w:p>
    <w:p>
      <w:pPr>
        <w:spacing w:after="40" w:before="0"/>
        <w:jc w:val="center"/>
      </w:pPr>
      <w:r>
        <w:rPr>
          <w:rFonts w:ascii="Open Sans" w:hAnsi="Open Sans"/>
          <w:b w:val="0"/>
          <w:color w:val="868E96"/>
          <w:sz w:val="18"/>
        </w:rPr>
        <w:t>Preliminary Draft — 2026</w:t>
      </w:r>
    </w:p>
    <w:p>
      <w:pPr>
        <w:spacing w:after="120" w:before="0"/>
        <w:jc w:val="center"/>
      </w:pPr>
      <w:r>
        <w:rPr>
          <w:rFonts w:ascii="Open Sans" w:hAnsi="Open Sans"/>
          <w:b w:val="0"/>
          <w:color w:val="2D6A4F"/>
          <w:sz w:val="18"/>
        </w:rPr>
        <w:t>www.ninda.org</w:t>
      </w:r>
    </w:p>
    <w:p>
      <w:r>
        <w:br w:type="page"/>
      </w:r>
    </w:p>
    <w:p>
      <w:pPr>
        <w:spacing w:after="320" w:before="0"/>
      </w:pPr>
      <w:r>
        <w:rPr>
          <w:rFonts w:ascii="Open Sans" w:hAnsi="Open Sans"/>
          <w:b w:val="0"/>
          <w:color w:val="868E96"/>
          <w:sz w:val="16"/>
        </w:rPr>
        <w:t>PRELIMINARY DRAFT — This document is a concept draft produced during the formation phase of the National Institute for Nonprofit Digital Advancement (NINDA). It is intended for internal planning, stakeholder alignment, and institutional positioning purposes. Data points cited are drawn from publicly available sector research and should be independently verified before use in grant applications, public communications, or policy recommendations.</w:t>
      </w:r>
    </w:p>
    <w:p>
      <w:pPr>
        <w:spacing w:before="80" w:after="80"/>
      </w:pPr>
      <w:r>
        <w:rPr>
          <w:color w:val="DEE2E6"/>
          <w:sz w:val="12"/>
        </w:rPr>
        <w:t>────────────────────────────────────────────────────────────────────────</w:t>
      </w:r>
    </w:p>
    <w:p>
      <w:pPr>
        <w:pStyle w:val="Heading1"/>
      </w:pPr>
      <w:r>
        <w:rPr>
          <w:rFonts w:ascii="Figtree" w:hAnsi="Figtree"/>
          <w:color w:val="212529"/>
        </w:rPr>
        <w:t>Executive Summary</w:t>
      </w:r>
    </w:p>
    <w:p>
      <w:pPr>
        <w:spacing w:after="120" w:before="0"/>
      </w:pPr>
      <w:r>
        <w:rPr>
          <w:rFonts w:ascii="Open Sans" w:hAnsi="Open Sans"/>
          <w:b w:val="0"/>
          <w:color w:val="495057"/>
          <w:sz w:val="22"/>
        </w:rPr>
        <w:t>We invest in roads, bridges, and broadband because we understand that infrastructure enables economic activity and community wellbeing. This whitepaper argues that nonprofit digital infrastructure deserves the same recognition — as essential public-interest infrastructure that enables the social sector to function effectively.</w:t>
      </w:r>
    </w:p>
    <w:p>
      <w:pPr>
        <w:spacing w:after="120" w:before="0"/>
      </w:pPr>
      <w:r>
        <w:rPr>
          <w:rFonts w:ascii="Open Sans" w:hAnsi="Open Sans"/>
          <w:b w:val="0"/>
          <w:color w:val="495057"/>
          <w:sz w:val="22"/>
        </w:rPr>
        <w:t>When nonprofits have modern digital systems, communities get better services, stakeholders get better information, and funders get better outcomes. When they don't, everyone loses. It is time to treat nonprofit digital capacity as a public good.</w:t>
      </w:r>
    </w:p>
    <w:p>
      <w:pPr>
        <w:pStyle w:val="Heading1"/>
      </w:pPr>
      <w:r>
        <w:rPr>
          <w:rFonts w:ascii="Figtree" w:hAnsi="Figtree"/>
          <w:color w:val="212529"/>
        </w:rPr>
        <w:t>The Public Interest Case</w:t>
      </w:r>
    </w:p>
    <w:p>
      <w:pPr>
        <w:spacing w:after="120" w:before="0"/>
      </w:pPr>
      <w:r>
        <w:rPr>
          <w:rFonts w:ascii="Open Sans" w:hAnsi="Open Sans"/>
          <w:b w:val="0"/>
          <w:color w:val="495057"/>
          <w:sz w:val="22"/>
        </w:rPr>
        <w:t>Nonprofits are not private businesses serving private interests. They are public-benefit organizations serving community needs. Their digital infrastructure is therefore public-interest infrastructure:</w:t>
      </w:r>
    </w:p>
    <w:p>
      <w:pPr>
        <w:spacing w:after="120" w:before="200"/>
      </w:pPr>
      <w:r>
        <w:rPr>
          <w:rFonts w:ascii="Open Sans" w:hAnsi="Open Sans"/>
          <w:b/>
          <w:color w:val="2D6A4F"/>
          <w:sz w:val="22"/>
        </w:rPr>
        <w:t>Health &amp; Human Services</w:t>
      </w:r>
    </w:p>
    <w:p>
      <w:pPr>
        <w:spacing w:after="120" w:before="0"/>
      </w:pPr>
      <w:r>
        <w:rPr>
          <w:rFonts w:ascii="Open Sans" w:hAnsi="Open Sans"/>
          <w:b w:val="0"/>
          <w:color w:val="495057"/>
          <w:sz w:val="22"/>
        </w:rPr>
        <w:t>Clinics, mental health providers, and social service agencies need digital systems to manage care, coordinate services, and reach vulnerable populations.</w:t>
      </w:r>
    </w:p>
    <w:p>
      <w:pPr>
        <w:spacing w:after="120" w:before="200"/>
      </w:pPr>
      <w:r>
        <w:rPr>
          <w:rFonts w:ascii="Open Sans" w:hAnsi="Open Sans"/>
          <w:b/>
          <w:color w:val="2D6A4F"/>
          <w:sz w:val="22"/>
        </w:rPr>
        <w:t>Education</w:t>
      </w:r>
    </w:p>
    <w:p>
      <w:pPr>
        <w:spacing w:after="120" w:before="0"/>
      </w:pPr>
      <w:r>
        <w:rPr>
          <w:rFonts w:ascii="Open Sans" w:hAnsi="Open Sans"/>
          <w:b w:val="0"/>
          <w:color w:val="495057"/>
          <w:sz w:val="22"/>
        </w:rPr>
        <w:t>Afterschool programs, tutoring organizations, and educational nonprofits need digital platforms to engage students, families, and communities.</w:t>
      </w:r>
    </w:p>
    <w:p>
      <w:pPr>
        <w:spacing w:after="120" w:before="200"/>
      </w:pPr>
      <w:r>
        <w:rPr>
          <w:rFonts w:ascii="Open Sans" w:hAnsi="Open Sans"/>
          <w:b/>
          <w:color w:val="2D6A4F"/>
          <w:sz w:val="22"/>
        </w:rPr>
        <w:t>Environment</w:t>
      </w:r>
    </w:p>
    <w:p>
      <w:pPr>
        <w:spacing w:after="120" w:before="0"/>
      </w:pPr>
      <w:r>
        <w:rPr>
          <w:rFonts w:ascii="Open Sans" w:hAnsi="Open Sans"/>
          <w:b w:val="0"/>
          <w:color w:val="495057"/>
          <w:sz w:val="22"/>
        </w:rPr>
        <w:t>Conservation and environmental organizations need digital tools to mobilize volunteers, communicate research, and advocate for policy change.</w:t>
      </w:r>
    </w:p>
    <w:p>
      <w:pPr>
        <w:spacing w:after="120" w:before="200"/>
      </w:pPr>
      <w:r>
        <w:rPr>
          <w:rFonts w:ascii="Open Sans" w:hAnsi="Open Sans"/>
          <w:b/>
          <w:color w:val="2D6A4F"/>
          <w:sz w:val="22"/>
        </w:rPr>
        <w:t>Community Development</w:t>
      </w:r>
    </w:p>
    <w:p>
      <w:pPr>
        <w:spacing w:after="120" w:before="0"/>
      </w:pPr>
      <w:r>
        <w:rPr>
          <w:rFonts w:ascii="Open Sans" w:hAnsi="Open Sans"/>
          <w:b w:val="0"/>
          <w:color w:val="495057"/>
          <w:sz w:val="22"/>
        </w:rPr>
        <w:t>Housing, economic development, and neighborhood organizations need digital infrastructure to coordinate services and engage residents.</w:t>
      </w:r>
    </w:p>
    <w:p>
      <w:pPr>
        <w:spacing w:after="120" w:before="200"/>
      </w:pPr>
      <w:r>
        <w:rPr>
          <w:rFonts w:ascii="Open Sans" w:hAnsi="Open Sans"/>
          <w:b/>
          <w:color w:val="2D6A4F"/>
          <w:sz w:val="22"/>
        </w:rPr>
        <w:t>Arts &amp; Culture</w:t>
      </w:r>
    </w:p>
    <w:p>
      <w:pPr>
        <w:spacing w:after="120" w:before="0"/>
      </w:pPr>
      <w:r>
        <w:rPr>
          <w:rFonts w:ascii="Open Sans" w:hAnsi="Open Sans"/>
          <w:b w:val="0"/>
          <w:color w:val="495057"/>
          <w:sz w:val="22"/>
        </w:rPr>
        <w:t>Museums, theaters, and cultural organizations need digital platforms to reach audiences, sell tickets, and preserve cultural assets.</w:t>
      </w:r>
    </w:p>
    <w:p>
      <w:pPr>
        <w:pStyle w:val="Heading1"/>
      </w:pPr>
      <w:r>
        <w:rPr>
          <w:rFonts w:ascii="Figtree" w:hAnsi="Figtree"/>
          <w:color w:val="212529"/>
        </w:rPr>
        <w:t>A Framework for Public Investment</w:t>
      </w:r>
    </w:p>
    <w:p>
      <w:pPr>
        <w:spacing w:after="120" w:before="0"/>
      </w:pPr>
      <w:r>
        <w:rPr>
          <w:rFonts w:ascii="Open Sans" w:hAnsi="Open Sans"/>
          <w:b w:val="0"/>
          <w:color w:val="495057"/>
          <w:sz w:val="22"/>
        </w:rPr>
        <w:t>Treating nonprofit digital infrastructure as a public good implies a set of policy and funding commitments:</w:t>
      </w:r>
    </w:p>
    <w:p>
      <w:pPr>
        <w:spacing w:after="80" w:before="0"/>
      </w:pPr>
      <w:r>
        <w:rPr>
          <w:rFonts w:ascii="Open Sans" w:hAnsi="Open Sans"/>
          <w:b w:val="0"/>
          <w:color w:val="495057"/>
          <w:sz w:val="22"/>
        </w:rPr>
        <w:t>•  Federal programs should include nonprofit digital capacity as an eligible investment area</w:t>
      </w:r>
    </w:p>
    <w:p>
      <w:pPr>
        <w:spacing w:after="80" w:before="0"/>
      </w:pPr>
      <w:r>
        <w:rPr>
          <w:rFonts w:ascii="Open Sans" w:hAnsi="Open Sans"/>
          <w:b w:val="0"/>
          <w:color w:val="495057"/>
          <w:sz w:val="22"/>
        </w:rPr>
        <w:t>•  State governments should fund digital infrastructure grants for nonprofit organizations</w:t>
      </w:r>
    </w:p>
    <w:p>
      <w:pPr>
        <w:spacing w:after="80" w:before="0"/>
      </w:pPr>
      <w:r>
        <w:rPr>
          <w:rFonts w:ascii="Open Sans" w:hAnsi="Open Sans"/>
          <w:b w:val="0"/>
          <w:color w:val="495057"/>
          <w:sz w:val="22"/>
        </w:rPr>
        <w:t>•  Foundations should create dedicated funding streams for nonprofit technology modernization</w:t>
      </w:r>
    </w:p>
    <w:p>
      <w:pPr>
        <w:spacing w:after="80" w:before="0"/>
      </w:pPr>
      <w:r>
        <w:rPr>
          <w:rFonts w:ascii="Open Sans" w:hAnsi="Open Sans"/>
          <w:b w:val="0"/>
          <w:color w:val="495057"/>
          <w:sz w:val="22"/>
        </w:rPr>
        <w:t>•  Corporate social responsibility programs should include pro-bono technology support</w:t>
      </w:r>
    </w:p>
    <w:p>
      <w:pPr>
        <w:spacing w:after="80" w:before="0"/>
      </w:pPr>
      <w:r>
        <w:rPr>
          <w:rFonts w:ascii="Open Sans" w:hAnsi="Open Sans"/>
          <w:b w:val="0"/>
          <w:color w:val="495057"/>
          <w:sz w:val="22"/>
        </w:rPr>
        <w:t>•  National intermediaries should be funded to aggregate and distribute digital capacity resources</w:t>
      </w:r>
    </w:p>
    <w:p>
      <w:pPr>
        <w:spacing w:after="80" w:before="0"/>
      </w:pPr>
      <w:r>
        <w:rPr>
          <w:rFonts w:ascii="Open Sans" w:hAnsi="Open Sans"/>
          <w:b w:val="0"/>
          <w:color w:val="495057"/>
          <w:sz w:val="22"/>
        </w:rPr>
        <w:t>•  Digital equity frameworks should explicitly include organizational capacity, not just individual access</w:t>
      </w:r>
    </w:p>
    <w:p>
      <w:pPr>
        <w:pStyle w:val="Heading1"/>
      </w:pPr>
      <w:r>
        <w:rPr>
          <w:rFonts w:ascii="Figtree" w:hAnsi="Figtree"/>
          <w:color w:val="212529"/>
        </w:rPr>
        <w:t>The Role of Intermediaries</w:t>
      </w:r>
    </w:p>
    <w:p>
      <w:pPr>
        <w:spacing w:after="120" w:before="0"/>
      </w:pPr>
      <w:r>
        <w:rPr>
          <w:rFonts w:ascii="Open Sans" w:hAnsi="Open Sans"/>
          <w:b w:val="0"/>
          <w:color w:val="495057"/>
          <w:sz w:val="22"/>
        </w:rPr>
        <w:t>Individual nonprofits — especially small and mid-size organizations — cannot solve the digital infrastructure challenge alone. Intermediary institutions play a critical role by:</w:t>
      </w:r>
    </w:p>
    <w:p>
      <w:pPr>
        <w:spacing w:after="80" w:before="0"/>
      </w:pPr>
      <w:r>
        <w:rPr>
          <w:rFonts w:ascii="Open Sans" w:hAnsi="Open Sans"/>
          <w:b w:val="0"/>
          <w:color w:val="495057"/>
          <w:sz w:val="22"/>
        </w:rPr>
        <w:t>•  Aggregating funding and distributing it efficiently to the organizations that need it</w:t>
      </w:r>
    </w:p>
    <w:p>
      <w:pPr>
        <w:spacing w:after="80" w:before="0"/>
      </w:pPr>
      <w:r>
        <w:rPr>
          <w:rFonts w:ascii="Open Sans" w:hAnsi="Open Sans"/>
          <w:b w:val="0"/>
          <w:color w:val="495057"/>
          <w:sz w:val="22"/>
        </w:rPr>
        <w:t>•  Providing technical assistance and implementation support at scale</w:t>
      </w:r>
    </w:p>
    <w:p>
      <w:pPr>
        <w:spacing w:after="80" w:before="0"/>
      </w:pPr>
      <w:r>
        <w:rPr>
          <w:rFonts w:ascii="Open Sans" w:hAnsi="Open Sans"/>
          <w:b w:val="0"/>
          <w:color w:val="495057"/>
          <w:sz w:val="22"/>
        </w:rPr>
        <w:t>•  Developing shared tools, frameworks, and best practices for the sector</w:t>
      </w:r>
    </w:p>
    <w:p>
      <w:pPr>
        <w:spacing w:after="80" w:before="0"/>
      </w:pPr>
      <w:r>
        <w:rPr>
          <w:rFonts w:ascii="Open Sans" w:hAnsi="Open Sans"/>
          <w:b w:val="0"/>
          <w:color w:val="495057"/>
          <w:sz w:val="22"/>
        </w:rPr>
        <w:t>•  Conducting research and publishing benchmarks that inform collective strategy</w:t>
      </w:r>
    </w:p>
    <w:p>
      <w:pPr>
        <w:spacing w:after="80" w:before="0"/>
      </w:pPr>
      <w:r>
        <w:rPr>
          <w:rFonts w:ascii="Open Sans" w:hAnsi="Open Sans"/>
          <w:b w:val="0"/>
          <w:color w:val="495057"/>
          <w:sz w:val="22"/>
        </w:rPr>
        <w:t>•  Advocating for policy changes that support nonprofit digital capacity</w:t>
      </w:r>
    </w:p>
    <w:p>
      <w:pPr>
        <w:spacing w:after="120" w:before="0"/>
      </w:pPr>
      <w:r>
        <w:rPr>
          <w:rFonts w:ascii="Open Sans" w:hAnsi="Open Sans"/>
          <w:b w:val="0"/>
          <w:color w:val="495057"/>
          <w:sz w:val="22"/>
        </w:rPr>
        <w:t>NINDA is designed to serve exactly this intermediary function — channeling resources, expertise, and institutional support to the nonprofit organizations that need it most.</w:t>
      </w:r>
    </w:p>
    <w:p>
      <w:pPr>
        <w:pStyle w:val="Heading1"/>
      </w:pPr>
      <w:r>
        <w:rPr>
          <w:rFonts w:ascii="Figtree" w:hAnsi="Figtree"/>
          <w:color w:val="212529"/>
        </w:rPr>
        <w:t>Conclusion</w:t>
      </w:r>
    </w:p>
    <w:p>
      <w:pPr>
        <w:spacing w:after="120" w:before="0"/>
      </w:pPr>
      <w:r>
        <w:rPr>
          <w:rFonts w:ascii="Open Sans" w:hAnsi="Open Sans"/>
          <w:b w:val="0"/>
          <w:color w:val="495057"/>
          <w:sz w:val="22"/>
        </w:rPr>
        <w:t>The social sector's digital infrastructure is a public good that has been chronically underinvested. The result is weaker organizations, reduced community impact, and a sector that struggles to keep pace with the demands of a digital world. By recognizing nonprofit digital capacity as essential public-interest infrastructure, we can begin to close the gap — and strengthen the organizations that strengthen our communities.</w:t>
      </w:r>
    </w:p>
    <w:p>
      <w:pPr>
        <w:spacing w:after="120" w:before="0"/>
      </w:pPr>
      <w:r>
        <w:rPr>
          <w:rFonts w:ascii="Open Sans" w:hAnsi="Open Sans"/>
          <w:b w:val="0"/>
          <w:color w:val="495057"/>
          <w:sz w:val="12"/>
        </w:rPr>
      </w:r>
    </w:p>
    <w:p>
      <w:pPr>
        <w:spacing w:before="80" w:after="80"/>
      </w:pPr>
      <w:r>
        <w:rPr>
          <w:color w:val="DEE2E6"/>
          <w:sz w:val="12"/>
        </w:rPr>
        <w:t>────────────────────────────────────────────────────────────────────────</w:t>
      </w:r>
    </w:p>
    <w:p>
      <w:pPr>
        <w:spacing w:after="0" w:before="0"/>
      </w:pPr>
      <w:r>
        <w:rPr>
          <w:rFonts w:ascii="Open Sans" w:hAnsi="Open Sans"/>
          <w:b w:val="0"/>
          <w:color w:val="868E96"/>
          <w:sz w:val="14"/>
        </w:rPr>
        <w:t>© 2026 National Institute for Nonprofit Digital Advancement (NINDA). All rights reserved. This document may not be reproduced or distributed without written permission.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