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BRIEF</w:t>
      </w:r>
    </w:p>
    <w:p>
      <w:pPr>
        <w:spacing w:after="320" w:before="0"/>
        <w:jc w:val="center"/>
      </w:pPr>
      <w:r>
        <w:rPr>
          <w:rFonts w:ascii="Figtree" w:hAnsi="Figtree"/>
          <w:b/>
          <w:color w:val="212529"/>
          <w:sz w:val="52"/>
        </w:rPr>
        <w:t>The ROI of Digital</w:t>
        <w:br/>
        <w:t>Modernization for Nonprofits</w:t>
      </w:r>
    </w:p>
    <w:p>
      <w:pPr>
        <w:spacing w:after="480" w:before="0"/>
        <w:jc w:val="center"/>
      </w:pPr>
      <w:r>
        <w:rPr>
          <w:rFonts w:ascii="Open Sans" w:hAnsi="Open Sans"/>
          <w:b w:val="0"/>
          <w:color w:val="495057"/>
          <w:sz w:val="24"/>
        </w:rPr>
        <w:t>Quantifying the organizational benefits of investing in modern digital</w:t>
        <w:br/>
        <w:t>infrastructure — from donor engagement to operational efficiency.</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Nonprofit leaders and boards often struggle to justify digital investments because the returns are difficult to quantify in traditional nonprofit financial terms. This brief makes the case that digital modernization produces measurable returns across multiple dimensions — and that the cost of inaction is often higher than the cost of investment.</w:t>
      </w:r>
    </w:p>
    <w:p>
      <w:pPr>
        <w:pStyle w:val="Heading1"/>
      </w:pPr>
      <w:r>
        <w:rPr>
          <w:rFonts w:ascii="Figtree" w:hAnsi="Figtree"/>
          <w:color w:val="212529"/>
        </w:rPr>
        <w:t>Dimensions of Return</w:t>
      </w:r>
    </w:p>
    <w:p>
      <w:pPr>
        <w:pStyle w:val="Heading2"/>
      </w:pPr>
      <w:r>
        <w:rPr>
          <w:rFonts w:ascii="Figtree" w:hAnsi="Figtree"/>
          <w:color w:val="212529"/>
        </w:rPr>
        <w:t>Operational Efficiency</w:t>
      </w:r>
    </w:p>
    <w:p>
      <w:pPr>
        <w:spacing w:after="120" w:before="0"/>
      </w:pPr>
      <w:r>
        <w:rPr>
          <w:rFonts w:ascii="Open Sans" w:hAnsi="Open Sans"/>
          <w:b w:val="0"/>
          <w:color w:val="495057"/>
          <w:sz w:val="22"/>
        </w:rPr>
        <w:t>Modern digital systems reduce manual work, eliminate duplication, and free staff time for mission-critical activities.</w:t>
      </w:r>
    </w:p>
    <w:p>
      <w:pPr>
        <w:spacing w:after="60" w:before="0"/>
      </w:pPr>
      <w:r>
        <w:rPr>
          <w:rFonts w:ascii="Open Sans" w:hAnsi="Open Sans"/>
          <w:b w:val="0"/>
          <w:color w:val="495057"/>
          <w:sz w:val="22"/>
        </w:rPr>
        <w:t>•  30-40% reduction in administrative time through CRM automation</w:t>
      </w:r>
    </w:p>
    <w:p>
      <w:pPr>
        <w:spacing w:after="60" w:before="0"/>
      </w:pPr>
      <w:r>
        <w:rPr>
          <w:rFonts w:ascii="Open Sans" w:hAnsi="Open Sans"/>
          <w:b w:val="0"/>
          <w:color w:val="495057"/>
          <w:sz w:val="22"/>
        </w:rPr>
        <w:t>•  Significant reduction in data entry errors through system integration</w:t>
      </w:r>
    </w:p>
    <w:p>
      <w:pPr>
        <w:spacing w:after="60" w:before="0"/>
      </w:pPr>
      <w:r>
        <w:rPr>
          <w:rFonts w:ascii="Open Sans" w:hAnsi="Open Sans"/>
          <w:b w:val="0"/>
          <w:color w:val="495057"/>
          <w:sz w:val="22"/>
        </w:rPr>
        <w:t>•  Faster reporting and compliance through centralized data management</w:t>
      </w:r>
    </w:p>
    <w:p>
      <w:pPr>
        <w:pStyle w:val="Heading2"/>
      </w:pPr>
      <w:r>
        <w:rPr>
          <w:rFonts w:ascii="Figtree" w:hAnsi="Figtree"/>
          <w:color w:val="212529"/>
        </w:rPr>
        <w:t>Fundraising &amp; Revenue Growth</w:t>
      </w:r>
    </w:p>
    <w:p>
      <w:pPr>
        <w:spacing w:after="120" w:before="0"/>
      </w:pPr>
      <w:r>
        <w:rPr>
          <w:rFonts w:ascii="Open Sans" w:hAnsi="Open Sans"/>
          <w:b w:val="0"/>
          <w:color w:val="495057"/>
          <w:sz w:val="22"/>
        </w:rPr>
        <w:t>Organizations with modern digital infrastructure consistently outperform peers in fundraising metrics.</w:t>
      </w:r>
    </w:p>
    <w:p>
      <w:pPr>
        <w:spacing w:after="60" w:before="0"/>
      </w:pPr>
      <w:r>
        <w:rPr>
          <w:rFonts w:ascii="Open Sans" w:hAnsi="Open Sans"/>
          <w:b w:val="0"/>
          <w:color w:val="495057"/>
          <w:sz w:val="22"/>
        </w:rPr>
        <w:t>•  Online giving grows 12-15% annually for organizations with optimized digital donation systems</w:t>
      </w:r>
    </w:p>
    <w:p>
      <w:pPr>
        <w:spacing w:after="60" w:before="0"/>
      </w:pPr>
      <w:r>
        <w:rPr>
          <w:rFonts w:ascii="Open Sans" w:hAnsi="Open Sans"/>
          <w:b w:val="0"/>
          <w:color w:val="495057"/>
          <w:sz w:val="22"/>
        </w:rPr>
        <w:t>•  Email automation increases donor retention rates by 20-30%</w:t>
      </w:r>
    </w:p>
    <w:p>
      <w:pPr>
        <w:spacing w:after="60" w:before="0"/>
      </w:pPr>
      <w:r>
        <w:rPr>
          <w:rFonts w:ascii="Open Sans" w:hAnsi="Open Sans"/>
          <w:b w:val="0"/>
          <w:color w:val="495057"/>
          <w:sz w:val="22"/>
        </w:rPr>
        <w:t>•  Integrated CRM systems improve major gift identification and cultivation</w:t>
      </w:r>
    </w:p>
    <w:p>
      <w:pPr>
        <w:pStyle w:val="Heading2"/>
      </w:pPr>
      <w:r>
        <w:rPr>
          <w:rFonts w:ascii="Figtree" w:hAnsi="Figtree"/>
          <w:color w:val="212529"/>
        </w:rPr>
        <w:t>Stakeholder Engagement</w:t>
      </w:r>
    </w:p>
    <w:p>
      <w:pPr>
        <w:spacing w:after="120" w:before="0"/>
      </w:pPr>
      <w:r>
        <w:rPr>
          <w:rFonts w:ascii="Open Sans" w:hAnsi="Open Sans"/>
          <w:b w:val="0"/>
          <w:color w:val="495057"/>
          <w:sz w:val="22"/>
        </w:rPr>
        <w:t>Digital infrastructure enables deeper, more consistent engagement with all stakeholder groups.</w:t>
      </w:r>
    </w:p>
    <w:p>
      <w:pPr>
        <w:spacing w:after="60" w:before="0"/>
      </w:pPr>
      <w:r>
        <w:rPr>
          <w:rFonts w:ascii="Open Sans" w:hAnsi="Open Sans"/>
          <w:b w:val="0"/>
          <w:color w:val="495057"/>
          <w:sz w:val="22"/>
        </w:rPr>
        <w:t>•  Multi-channel communication reaches 3-5x more stakeholders than single-channel approaches</w:t>
      </w:r>
    </w:p>
    <w:p>
      <w:pPr>
        <w:spacing w:after="60" w:before="0"/>
      </w:pPr>
      <w:r>
        <w:rPr>
          <w:rFonts w:ascii="Open Sans" w:hAnsi="Open Sans"/>
          <w:b w:val="0"/>
          <w:color w:val="495057"/>
          <w:sz w:val="22"/>
        </w:rPr>
        <w:t>•  Content management systems enable consistent messaging across all platforms</w:t>
      </w:r>
    </w:p>
    <w:p>
      <w:pPr>
        <w:spacing w:after="60" w:before="0"/>
      </w:pPr>
      <w:r>
        <w:rPr>
          <w:rFonts w:ascii="Open Sans" w:hAnsi="Open Sans"/>
          <w:b w:val="0"/>
          <w:color w:val="495057"/>
          <w:sz w:val="22"/>
        </w:rPr>
        <w:t>•  Community engagement platforms increase volunteer recruitment and retention</w:t>
      </w:r>
    </w:p>
    <w:p>
      <w:pPr>
        <w:pStyle w:val="Heading2"/>
      </w:pPr>
      <w:r>
        <w:rPr>
          <w:rFonts w:ascii="Figtree" w:hAnsi="Figtree"/>
          <w:color w:val="212529"/>
        </w:rPr>
        <w:t>Organizational Resilience</w:t>
      </w:r>
    </w:p>
    <w:p>
      <w:pPr>
        <w:spacing w:after="120" w:before="0"/>
      </w:pPr>
      <w:r>
        <w:rPr>
          <w:rFonts w:ascii="Open Sans" w:hAnsi="Open Sans"/>
          <w:b w:val="0"/>
          <w:color w:val="495057"/>
          <w:sz w:val="22"/>
        </w:rPr>
        <w:t>Digitally mature organizations are more adaptable and resilient in the face of disruption.</w:t>
      </w:r>
    </w:p>
    <w:p>
      <w:pPr>
        <w:spacing w:after="60" w:before="0"/>
      </w:pPr>
      <w:r>
        <w:rPr>
          <w:rFonts w:ascii="Open Sans" w:hAnsi="Open Sans"/>
          <w:b w:val="0"/>
          <w:color w:val="495057"/>
          <w:sz w:val="22"/>
        </w:rPr>
        <w:t>•  Cloud-based systems enable remote work and operational continuity</w:t>
      </w:r>
    </w:p>
    <w:p>
      <w:pPr>
        <w:spacing w:after="60" w:before="0"/>
      </w:pPr>
      <w:r>
        <w:rPr>
          <w:rFonts w:ascii="Open Sans" w:hAnsi="Open Sans"/>
          <w:b w:val="0"/>
          <w:color w:val="495057"/>
          <w:sz w:val="22"/>
        </w:rPr>
        <w:t>•  Data backup and security systems protect against loss and breach</w:t>
      </w:r>
    </w:p>
    <w:p>
      <w:pPr>
        <w:spacing w:after="60" w:before="0"/>
      </w:pPr>
      <w:r>
        <w:rPr>
          <w:rFonts w:ascii="Open Sans" w:hAnsi="Open Sans"/>
          <w:b w:val="0"/>
          <w:color w:val="495057"/>
          <w:sz w:val="22"/>
        </w:rPr>
        <w:t>•  Flexible communications platforms enable rapid response to changing conditions</w:t>
      </w:r>
    </w:p>
    <w:p>
      <w:pPr>
        <w:pStyle w:val="Heading2"/>
      </w:pPr>
      <w:r>
        <w:rPr>
          <w:rFonts w:ascii="Figtree" w:hAnsi="Figtree"/>
          <w:color w:val="212529"/>
        </w:rPr>
        <w:t>Mission Impact &amp; Measurement</w:t>
      </w:r>
    </w:p>
    <w:p>
      <w:pPr>
        <w:spacing w:after="120" w:before="0"/>
      </w:pPr>
      <w:r>
        <w:rPr>
          <w:rFonts w:ascii="Open Sans" w:hAnsi="Open Sans"/>
          <w:b w:val="0"/>
          <w:color w:val="495057"/>
          <w:sz w:val="22"/>
        </w:rPr>
        <w:t>Modern systems enable better measurement and communication of organizational impact.</w:t>
      </w:r>
    </w:p>
    <w:p>
      <w:pPr>
        <w:spacing w:after="60" w:before="0"/>
      </w:pPr>
      <w:r>
        <w:rPr>
          <w:rFonts w:ascii="Open Sans" w:hAnsi="Open Sans"/>
          <w:b w:val="0"/>
          <w:color w:val="495057"/>
          <w:sz w:val="22"/>
        </w:rPr>
        <w:t>•  Outcome tracking systems demonstrate effectiveness to funders and stakeholders</w:t>
      </w:r>
    </w:p>
    <w:p>
      <w:pPr>
        <w:spacing w:after="60" w:before="0"/>
      </w:pPr>
      <w:r>
        <w:rPr>
          <w:rFonts w:ascii="Open Sans" w:hAnsi="Open Sans"/>
          <w:b w:val="0"/>
          <w:color w:val="495057"/>
          <w:sz w:val="22"/>
        </w:rPr>
        <w:t>•  Data dashboards enable real-time performance monitoring</w:t>
      </w:r>
    </w:p>
    <w:p>
      <w:pPr>
        <w:spacing w:after="60" w:before="0"/>
      </w:pPr>
      <w:r>
        <w:rPr>
          <w:rFonts w:ascii="Open Sans" w:hAnsi="Open Sans"/>
          <w:b w:val="0"/>
          <w:color w:val="495057"/>
          <w:sz w:val="22"/>
        </w:rPr>
        <w:t>•  Impact reporting capabilities strengthen grant competitiveness</w:t>
      </w:r>
    </w:p>
    <w:p>
      <w:pPr>
        <w:pStyle w:val="Heading1"/>
      </w:pPr>
      <w:r>
        <w:rPr>
          <w:rFonts w:ascii="Figtree" w:hAnsi="Figtree"/>
          <w:color w:val="212529"/>
        </w:rPr>
        <w:t>The Cost of Inaction</w:t>
      </w:r>
    </w:p>
    <w:p>
      <w:pPr>
        <w:spacing w:after="120" w:before="0"/>
      </w:pPr>
      <w:r>
        <w:rPr>
          <w:rFonts w:ascii="Open Sans" w:hAnsi="Open Sans"/>
          <w:b w:val="0"/>
          <w:color w:val="495057"/>
          <w:sz w:val="22"/>
        </w:rPr>
        <w:t>The ROI calculation must also account for what organizations lose by not investing:</w:t>
      </w:r>
    </w:p>
    <w:p>
      <w:pPr>
        <w:spacing w:after="80" w:before="0"/>
      </w:pPr>
      <w:r>
        <w:rPr>
          <w:rFonts w:ascii="Open Sans" w:hAnsi="Open Sans"/>
          <w:b w:val="0"/>
          <w:color w:val="495057"/>
          <w:sz w:val="22"/>
        </w:rPr>
        <w:t>•  Staff burnout from manual, repetitive processes</w:t>
      </w:r>
    </w:p>
    <w:p>
      <w:pPr>
        <w:spacing w:after="80" w:before="0"/>
      </w:pPr>
      <w:r>
        <w:rPr>
          <w:rFonts w:ascii="Open Sans" w:hAnsi="Open Sans"/>
          <w:b w:val="0"/>
          <w:color w:val="495057"/>
          <w:sz w:val="22"/>
        </w:rPr>
        <w:t>•  Missed funding opportunities due to inability to demonstrate impact</w:t>
      </w:r>
    </w:p>
    <w:p>
      <w:pPr>
        <w:spacing w:after="80" w:before="0"/>
      </w:pPr>
      <w:r>
        <w:rPr>
          <w:rFonts w:ascii="Open Sans" w:hAnsi="Open Sans"/>
          <w:b w:val="0"/>
          <w:color w:val="495057"/>
          <w:sz w:val="22"/>
        </w:rPr>
        <w:t>•  Donor attrition from poor communication and engagement experiences</w:t>
      </w:r>
    </w:p>
    <w:p>
      <w:pPr>
        <w:spacing w:after="80" w:before="0"/>
      </w:pPr>
      <w:r>
        <w:rPr>
          <w:rFonts w:ascii="Open Sans" w:hAnsi="Open Sans"/>
          <w:b w:val="0"/>
          <w:color w:val="495057"/>
          <w:sz w:val="22"/>
        </w:rPr>
        <w:t>•  Security vulnerabilities from outdated systems</w:t>
      </w:r>
    </w:p>
    <w:p>
      <w:pPr>
        <w:spacing w:after="80" w:before="0"/>
      </w:pPr>
      <w:r>
        <w:rPr>
          <w:rFonts w:ascii="Open Sans" w:hAnsi="Open Sans"/>
          <w:b w:val="0"/>
          <w:color w:val="495057"/>
          <w:sz w:val="22"/>
        </w:rPr>
        <w:t>•  Inability to adapt to changing stakeholder expectations and communication norms</w:t>
      </w:r>
    </w:p>
    <w:p>
      <w:pPr>
        <w:spacing w:after="80" w:before="0"/>
      </w:pPr>
      <w:r>
        <w:rPr>
          <w:rFonts w:ascii="Open Sans" w:hAnsi="Open Sans"/>
          <w:b w:val="0"/>
          <w:color w:val="495057"/>
          <w:sz w:val="22"/>
        </w:rPr>
        <w:t>•  Loss of institutional knowledge when systems depend on individual staff</w:t>
      </w:r>
    </w:p>
    <w:p>
      <w:pPr>
        <w:pStyle w:val="Heading1"/>
      </w:pPr>
      <w:r>
        <w:rPr>
          <w:rFonts w:ascii="Figtree" w:hAnsi="Figtree"/>
          <w:color w:val="212529"/>
        </w:rPr>
        <w:t>Conclusion</w:t>
      </w:r>
    </w:p>
    <w:p>
      <w:pPr>
        <w:spacing w:after="120" w:before="0"/>
      </w:pPr>
      <w:r>
        <w:rPr>
          <w:rFonts w:ascii="Open Sans" w:hAnsi="Open Sans"/>
          <w:b w:val="0"/>
          <w:color w:val="495057"/>
          <w:sz w:val="22"/>
        </w:rPr>
        <w:t>Digital modernization is not an expense — it is an investment in organizational capacity, sustainability, and mission impact. The returns are real, measurable, and compounding. Organizations and funders that recognize this will be better positioned to serve their communities effectively for the long term.</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