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120" w:before="0"/>
      </w:pPr>
      <w:r>
        <w:rPr>
          <w:rFonts w:ascii="Open Sans" w:hAnsi="Open Sans"/>
          <w:b w:val="0"/>
          <w:color w:val="495057"/>
          <w:sz w:val="24"/>
        </w:rPr>
      </w:r>
    </w:p>
    <w:p>
      <w:pPr>
        <w:spacing w:after="240" w:before="0"/>
        <w:jc w:val="center"/>
      </w:pPr>
      <w:r>
        <w:rPr>
          <w:rFonts w:ascii="Open Sans" w:hAnsi="Open Sans"/>
          <w:b/>
          <w:color w:val="E07A5F"/>
          <w:sz w:val="20"/>
        </w:rPr>
        <w:t>ANALYSIS</w:t>
      </w:r>
    </w:p>
    <w:p>
      <w:pPr>
        <w:spacing w:after="320" w:before="0"/>
        <w:jc w:val="center"/>
      </w:pPr>
      <w:r>
        <w:rPr>
          <w:rFonts w:ascii="Figtree" w:hAnsi="Figtree"/>
          <w:b/>
          <w:color w:val="212529"/>
          <w:sz w:val="52"/>
        </w:rPr>
        <w:t>Closing the Gap:</w:t>
        <w:br/>
        <w:t>Digital Equity for Mission-Driven Organizations</w:t>
      </w:r>
    </w:p>
    <w:p>
      <w:pPr>
        <w:spacing w:after="480" w:before="0"/>
        <w:jc w:val="center"/>
      </w:pPr>
      <w:r>
        <w:rPr>
          <w:rFonts w:ascii="Open Sans" w:hAnsi="Open Sans"/>
          <w:b w:val="0"/>
          <w:color w:val="495057"/>
          <w:sz w:val="24"/>
        </w:rPr>
        <w:t>How chronic underinvestment in nonprofit digital systems</w:t>
        <w:br/>
        <w:t>undermines community impact.</w:t>
      </w:r>
    </w:p>
    <w:p>
      <w:pPr>
        <w:spacing w:before="80" w:after="80"/>
      </w:pPr>
      <w:r>
        <w:rPr>
          <w:color w:val="DEE2E6"/>
          <w:sz w:val="12"/>
        </w:rPr>
        <w:t>────────────────────────────────────────────────────────────────────────</w:t>
      </w:r>
    </w:p>
    <w:p>
      <w:pPr>
        <w:spacing w:after="120" w:before="0"/>
      </w:pPr>
      <w:r>
        <w:rPr>
          <w:rFonts w:ascii="Open Sans" w:hAnsi="Open Sans"/>
          <w:b w:val="0"/>
          <w:color w:val="495057"/>
          <w:sz w:val="16"/>
        </w:rPr>
      </w:r>
    </w:p>
    <w:p>
      <w:pPr>
        <w:spacing w:after="80" w:before="0"/>
        <w:jc w:val="center"/>
      </w:pPr>
      <w:r>
        <w:rPr>
          <w:rFonts w:ascii="Open Sans" w:hAnsi="Open Sans"/>
          <w:b/>
          <w:color w:val="2D6A4F"/>
          <w:sz w:val="22"/>
        </w:rPr>
        <w:t>National Institute for Nonprofit Digital Advancement</w:t>
      </w:r>
    </w:p>
    <w:p>
      <w:pPr>
        <w:spacing w:after="80" w:before="0"/>
        <w:jc w:val="center"/>
      </w:pPr>
      <w:r>
        <w:rPr>
          <w:rFonts w:ascii="Open Sans" w:hAnsi="Open Sans"/>
          <w:b w:val="0"/>
          <w:color w:val="868E96"/>
          <w:sz w:val="18"/>
        </w:rPr>
        <w:t>NINDA</w:t>
      </w:r>
    </w:p>
    <w:p>
      <w:pPr>
        <w:spacing w:after="40" w:before="0"/>
        <w:jc w:val="center"/>
      </w:pPr>
      <w:r>
        <w:rPr>
          <w:rFonts w:ascii="Open Sans" w:hAnsi="Open Sans"/>
          <w:b w:val="0"/>
          <w:color w:val="868E96"/>
          <w:sz w:val="18"/>
        </w:rPr>
        <w:t>Preliminary Draft — 2026</w:t>
      </w:r>
    </w:p>
    <w:p>
      <w:pPr>
        <w:spacing w:after="120" w:before="0"/>
        <w:jc w:val="center"/>
      </w:pPr>
      <w:r>
        <w:rPr>
          <w:rFonts w:ascii="Open Sans" w:hAnsi="Open Sans"/>
          <w:b w:val="0"/>
          <w:color w:val="2D6A4F"/>
          <w:sz w:val="18"/>
        </w:rPr>
        <w:t>www.ninda.org</w:t>
      </w:r>
    </w:p>
    <w:p>
      <w:r>
        <w:br w:type="page"/>
      </w:r>
    </w:p>
    <w:p>
      <w:pPr>
        <w:spacing w:after="320" w:before="0"/>
      </w:pPr>
      <w:r>
        <w:rPr>
          <w:rFonts w:ascii="Open Sans" w:hAnsi="Open Sans"/>
          <w:b w:val="0"/>
          <w:color w:val="868E96"/>
          <w:sz w:val="16"/>
        </w:rPr>
        <w:t>PRELIMINARY DRAFT — This document is a concept draft produced during the formation phase of the National Institute for Nonprofit Digital Advancement (NINDA). It is intended for internal planning, stakeholder alignment, and institutional positioning purposes. Data points cited are drawn from publicly available sector research and should be independently verified before use in grant applications, public communications, or policy recommendations.</w:t>
      </w:r>
    </w:p>
    <w:p>
      <w:pPr>
        <w:spacing w:before="80" w:after="80"/>
      </w:pPr>
      <w:r>
        <w:rPr>
          <w:color w:val="DEE2E6"/>
          <w:sz w:val="12"/>
        </w:rPr>
        <w:t>────────────────────────────────────────────────────────────────────────</w:t>
      </w:r>
    </w:p>
    <w:p>
      <w:pPr>
        <w:pStyle w:val="Heading1"/>
      </w:pPr>
      <w:r>
        <w:rPr>
          <w:rFonts w:ascii="Figtree" w:hAnsi="Figtree"/>
          <w:color w:val="212529"/>
        </w:rPr>
        <w:t>Executive Summary</w:t>
      </w:r>
    </w:p>
    <w:p>
      <w:pPr>
        <w:spacing w:after="120" w:before="0"/>
      </w:pPr>
      <w:r>
        <w:rPr>
          <w:rFonts w:ascii="Open Sans" w:hAnsi="Open Sans"/>
          <w:b w:val="0"/>
          <w:color w:val="495057"/>
          <w:sz w:val="22"/>
        </w:rPr>
        <w:t>Digital equity is typically discussed in the context of broadband access, device availability, and digital literacy for individuals. This analysis extends that lens to mission-driven organizations — arguing that when nonprofits lack digital infrastructure, the communities they serve suffer a secondary form of digital inequity.</w:t>
      </w:r>
    </w:p>
    <w:p>
      <w:pPr>
        <w:spacing w:after="120" w:before="0"/>
      </w:pPr>
      <w:r>
        <w:rPr>
          <w:rFonts w:ascii="Open Sans" w:hAnsi="Open Sans"/>
          <w:b w:val="0"/>
          <w:color w:val="495057"/>
          <w:sz w:val="22"/>
        </w:rPr>
        <w:t>A food bank that cannot efficiently communicate with volunteers. A health clinic that cannot manage patient outreach. A youth program that cannot reach families online. These are not just organizational problems — they are community impact problems. And they disproportionately affect communities that are already underserved.</w:t>
      </w:r>
    </w:p>
    <w:p>
      <w:pPr>
        <w:pStyle w:val="Heading1"/>
      </w:pPr>
      <w:r>
        <w:rPr>
          <w:rFonts w:ascii="Figtree" w:hAnsi="Figtree"/>
          <w:color w:val="212529"/>
        </w:rPr>
        <w:t>The Equity Dimension</w:t>
      </w:r>
    </w:p>
    <w:p>
      <w:pPr>
        <w:spacing w:after="120" w:before="0"/>
      </w:pPr>
      <w:r>
        <w:rPr>
          <w:rFonts w:ascii="Open Sans" w:hAnsi="Open Sans"/>
          <w:b w:val="0"/>
          <w:color w:val="495057"/>
          <w:sz w:val="22"/>
        </w:rPr>
        <w:t>Nonprofits serving low-income communities, communities of color, rural areas, and other underserved populations are the least likely to have robust digital infrastructure. This creates a compounding effect:</w:t>
      </w:r>
    </w:p>
    <w:p>
      <w:pPr>
        <w:spacing w:after="80" w:before="0"/>
      </w:pPr>
      <w:r>
        <w:rPr>
          <w:rFonts w:ascii="Open Sans" w:hAnsi="Open Sans"/>
          <w:b w:val="0"/>
          <w:color w:val="495057"/>
          <w:sz w:val="22"/>
        </w:rPr>
        <w:t>•  Communities with the greatest needs are served by organizations with the least digital capacity</w:t>
      </w:r>
    </w:p>
    <w:p>
      <w:pPr>
        <w:spacing w:after="80" w:before="0"/>
      </w:pPr>
      <w:r>
        <w:rPr>
          <w:rFonts w:ascii="Open Sans" w:hAnsi="Open Sans"/>
          <w:b w:val="0"/>
          <w:color w:val="495057"/>
          <w:sz w:val="22"/>
        </w:rPr>
        <w:t>•  Organizations in under-resourced areas have fewer options for technology support and expertise</w:t>
      </w:r>
    </w:p>
    <w:p>
      <w:pPr>
        <w:spacing w:after="80" w:before="0"/>
      </w:pPr>
      <w:r>
        <w:rPr>
          <w:rFonts w:ascii="Open Sans" w:hAnsi="Open Sans"/>
          <w:b w:val="0"/>
          <w:color w:val="495057"/>
          <w:sz w:val="22"/>
        </w:rPr>
        <w:t>•  Smaller nonprofits — which form the backbone of local service delivery — have the largest digital gaps</w:t>
      </w:r>
    </w:p>
    <w:p>
      <w:pPr>
        <w:spacing w:after="80" w:before="0"/>
      </w:pPr>
      <w:r>
        <w:rPr>
          <w:rFonts w:ascii="Open Sans" w:hAnsi="Open Sans"/>
          <w:b w:val="0"/>
          <w:color w:val="495057"/>
          <w:sz w:val="22"/>
        </w:rPr>
        <w:t>•  The digital divide within the sector mirrors and reinforces the digital divide in the communities served</w:t>
      </w:r>
    </w:p>
    <w:p>
      <w:pPr>
        <w:pStyle w:val="Heading1"/>
      </w:pPr>
      <w:r>
        <w:rPr>
          <w:rFonts w:ascii="Figtree" w:hAnsi="Figtree"/>
          <w:color w:val="212529"/>
        </w:rPr>
        <w:t>Impact Areas</w:t>
      </w:r>
    </w:p>
    <w:p>
      <w:pPr>
        <w:spacing w:after="120" w:before="200"/>
      </w:pPr>
      <w:r>
        <w:rPr>
          <w:rFonts w:ascii="Open Sans" w:hAnsi="Open Sans"/>
          <w:b/>
          <w:color w:val="2D6A4F"/>
          <w:sz w:val="22"/>
        </w:rPr>
        <w:t>Service Delivery</w:t>
      </w:r>
    </w:p>
    <w:p>
      <w:pPr>
        <w:spacing w:after="120" w:before="0"/>
      </w:pPr>
      <w:r>
        <w:rPr>
          <w:rFonts w:ascii="Open Sans" w:hAnsi="Open Sans"/>
          <w:b w:val="0"/>
          <w:color w:val="495057"/>
          <w:sz w:val="22"/>
        </w:rPr>
        <w:t>Organizations with outdated systems struggle to efficiently deliver services, track outcomes, and adapt to changing community needs. Digital tools are not a luxury — they are operational infrastructure.</w:t>
      </w:r>
    </w:p>
    <w:p>
      <w:pPr>
        <w:spacing w:after="120" w:before="200"/>
      </w:pPr>
      <w:r>
        <w:rPr>
          <w:rFonts w:ascii="Open Sans" w:hAnsi="Open Sans"/>
          <w:b/>
          <w:color w:val="2D6A4F"/>
          <w:sz w:val="22"/>
        </w:rPr>
        <w:t>Community Engagement</w:t>
      </w:r>
    </w:p>
    <w:p>
      <w:pPr>
        <w:spacing w:after="120" w:before="0"/>
      </w:pPr>
      <w:r>
        <w:rPr>
          <w:rFonts w:ascii="Open Sans" w:hAnsi="Open Sans"/>
          <w:b w:val="0"/>
          <w:color w:val="495057"/>
          <w:sz w:val="22"/>
        </w:rPr>
        <w:t>Nonprofits that cannot effectively communicate online are invisible to significant portions of their potential stakeholders. This limits awareness, participation, and support.</w:t>
      </w:r>
    </w:p>
    <w:p>
      <w:pPr>
        <w:spacing w:after="120" w:before="200"/>
      </w:pPr>
      <w:r>
        <w:rPr>
          <w:rFonts w:ascii="Open Sans" w:hAnsi="Open Sans"/>
          <w:b/>
          <w:color w:val="2D6A4F"/>
          <w:sz w:val="22"/>
        </w:rPr>
        <w:t>Funding Competitiveness</w:t>
      </w:r>
    </w:p>
    <w:p>
      <w:pPr>
        <w:spacing w:after="120" w:before="0"/>
      </w:pPr>
      <w:r>
        <w:rPr>
          <w:rFonts w:ascii="Open Sans" w:hAnsi="Open Sans"/>
          <w:b w:val="0"/>
          <w:color w:val="495057"/>
          <w:sz w:val="22"/>
        </w:rPr>
        <w:t>Grant applications increasingly require evidence of digital capacity, data management capability, and measurable outcomes. Organizations without these capabilities are at a structural disadvantage.</w:t>
      </w:r>
    </w:p>
    <w:p>
      <w:pPr>
        <w:spacing w:after="120" w:before="200"/>
      </w:pPr>
      <w:r>
        <w:rPr>
          <w:rFonts w:ascii="Open Sans" w:hAnsi="Open Sans"/>
          <w:b/>
          <w:color w:val="2D6A4F"/>
          <w:sz w:val="22"/>
        </w:rPr>
        <w:t>Organizational Sustainability</w:t>
      </w:r>
    </w:p>
    <w:p>
      <w:pPr>
        <w:spacing w:after="120" w:before="0"/>
      </w:pPr>
      <w:r>
        <w:rPr>
          <w:rFonts w:ascii="Open Sans" w:hAnsi="Open Sans"/>
          <w:b w:val="0"/>
          <w:color w:val="495057"/>
          <w:sz w:val="22"/>
        </w:rPr>
        <w:t>Without modern systems, nonprofits are more fragile — more dependent on individual staff knowledge, more vulnerable to disruption, and less able to scale.</w:t>
      </w:r>
    </w:p>
    <w:p>
      <w:pPr>
        <w:spacing w:after="120" w:before="200"/>
      </w:pPr>
      <w:r>
        <w:rPr>
          <w:rFonts w:ascii="Open Sans" w:hAnsi="Open Sans"/>
          <w:b/>
          <w:color w:val="2D6A4F"/>
          <w:sz w:val="22"/>
        </w:rPr>
        <w:t>Advocacy &amp; Voice</w:t>
      </w:r>
    </w:p>
    <w:p>
      <w:pPr>
        <w:spacing w:after="120" w:before="0"/>
      </w:pPr>
      <w:r>
        <w:rPr>
          <w:rFonts w:ascii="Open Sans" w:hAnsi="Open Sans"/>
          <w:b w:val="0"/>
          <w:color w:val="495057"/>
          <w:sz w:val="22"/>
        </w:rPr>
        <w:t>In an online-driven information environment, organizations that cannot effectively communicate their mission and impact lose voice in public discourse and policy conversations.</w:t>
      </w:r>
    </w:p>
    <w:p>
      <w:pPr>
        <w:pStyle w:val="Heading1"/>
      </w:pPr>
      <w:r>
        <w:rPr>
          <w:rFonts w:ascii="Figtree" w:hAnsi="Figtree"/>
          <w:color w:val="212529"/>
        </w:rPr>
        <w:t>Toward Institutional Solutions</w:t>
      </w:r>
    </w:p>
    <w:p>
      <w:pPr>
        <w:spacing w:after="120" w:before="0"/>
      </w:pPr>
      <w:r>
        <w:rPr>
          <w:rFonts w:ascii="Open Sans" w:hAnsi="Open Sans"/>
          <w:b w:val="0"/>
          <w:color w:val="495057"/>
          <w:sz w:val="22"/>
        </w:rPr>
        <w:t>Closing the digital equity gap in the nonprofit sector requires institutional-level responses:</w:t>
      </w:r>
    </w:p>
    <w:p>
      <w:pPr>
        <w:spacing w:after="80" w:before="0"/>
      </w:pPr>
      <w:r>
        <w:rPr>
          <w:rFonts w:ascii="Open Sans" w:hAnsi="Open Sans"/>
          <w:b w:val="0"/>
          <w:color w:val="495057"/>
          <w:sz w:val="22"/>
        </w:rPr>
        <w:t>•  National intermediaries that can channel funding and expertise to under-resourced organizations</w:t>
      </w:r>
    </w:p>
    <w:p>
      <w:pPr>
        <w:spacing w:after="80" w:before="0"/>
      </w:pPr>
      <w:r>
        <w:rPr>
          <w:rFonts w:ascii="Open Sans" w:hAnsi="Open Sans"/>
          <w:b w:val="0"/>
          <w:color w:val="495057"/>
          <w:sz w:val="22"/>
        </w:rPr>
        <w:t>•  Regional capacity-building hubs that provide ongoing, accessible technical assistance</w:t>
      </w:r>
    </w:p>
    <w:p>
      <w:pPr>
        <w:spacing w:after="80" w:before="0"/>
      </w:pPr>
      <w:r>
        <w:rPr>
          <w:rFonts w:ascii="Open Sans" w:hAnsi="Open Sans"/>
          <w:b w:val="0"/>
          <w:color w:val="495057"/>
          <w:sz w:val="22"/>
        </w:rPr>
        <w:t>•  Funder commitment to digital infrastructure as an equity issue, not an overhead concern</w:t>
      </w:r>
    </w:p>
    <w:p>
      <w:pPr>
        <w:spacing w:after="80" w:before="0"/>
      </w:pPr>
      <w:r>
        <w:rPr>
          <w:rFonts w:ascii="Open Sans" w:hAnsi="Open Sans"/>
          <w:b w:val="0"/>
          <w:color w:val="495057"/>
          <w:sz w:val="22"/>
        </w:rPr>
        <w:t>•  Sector-wide benchmarking that makes the gap visible and trackable over time</w:t>
      </w:r>
    </w:p>
    <w:p>
      <w:pPr>
        <w:spacing w:after="80" w:before="0"/>
      </w:pPr>
      <w:r>
        <w:rPr>
          <w:rFonts w:ascii="Open Sans" w:hAnsi="Open Sans"/>
          <w:b w:val="0"/>
          <w:color w:val="495057"/>
          <w:sz w:val="22"/>
        </w:rPr>
        <w:t>•  Policy advocacy for including nonprofit digital capacity in federal digital equity frameworks</w:t>
      </w:r>
    </w:p>
    <w:p>
      <w:pPr>
        <w:pStyle w:val="Heading1"/>
      </w:pPr>
      <w:r>
        <w:rPr>
          <w:rFonts w:ascii="Figtree" w:hAnsi="Figtree"/>
          <w:color w:val="212529"/>
        </w:rPr>
        <w:t>Conclusion</w:t>
      </w:r>
    </w:p>
    <w:p>
      <w:pPr>
        <w:spacing w:after="120" w:before="0"/>
      </w:pPr>
      <w:r>
        <w:rPr>
          <w:rFonts w:ascii="Open Sans" w:hAnsi="Open Sans"/>
          <w:b w:val="0"/>
          <w:color w:val="495057"/>
          <w:sz w:val="22"/>
        </w:rPr>
        <w:t>Digital equity for nonprofits is not separate from digital equity for communities — it is a prerequisite. When we strengthen the digital capacity of mission-driven organizations, we strengthen the communities they serve. This analysis calls on funders, policymakers, and sector leaders to recognize nonprofit digital infrastructure as essential public-interest infrastructure.</w:t>
      </w:r>
    </w:p>
    <w:p>
      <w:pPr>
        <w:spacing w:after="120" w:before="0"/>
      </w:pPr>
      <w:r>
        <w:rPr>
          <w:rFonts w:ascii="Open Sans" w:hAnsi="Open Sans"/>
          <w:b w:val="0"/>
          <w:color w:val="495057"/>
          <w:sz w:val="12"/>
        </w:rPr>
      </w:r>
    </w:p>
    <w:p>
      <w:pPr>
        <w:spacing w:before="80" w:after="80"/>
      </w:pPr>
      <w:r>
        <w:rPr>
          <w:color w:val="DEE2E6"/>
          <w:sz w:val="12"/>
        </w:rPr>
        <w:t>────────────────────────────────────────────────────────────────────────</w:t>
      </w:r>
    </w:p>
    <w:p>
      <w:pPr>
        <w:spacing w:after="0" w:before="0"/>
      </w:pPr>
      <w:r>
        <w:rPr>
          <w:rFonts w:ascii="Open Sans" w:hAnsi="Open Sans"/>
          <w:b w:val="0"/>
          <w:color w:val="868E96"/>
          <w:sz w:val="14"/>
        </w:rPr>
        <w:t>© 2026 National Institute for Nonprofit Digital Advancement (NINDA). All rights reserved. This document may not be reproduced or distributed without written permission.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