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240" w:before="0"/>
        <w:jc w:val="center"/>
      </w:pPr>
      <w:r>
        <w:rPr>
          <w:rFonts w:ascii="Open Sans" w:hAnsi="Open Sans"/>
          <w:b/>
          <w:color w:val="E07A5F"/>
          <w:sz w:val="20"/>
        </w:rPr>
        <w:t>WHITEPAPER</w:t>
      </w:r>
    </w:p>
    <w:p>
      <w:pPr>
        <w:spacing w:after="320" w:before="0"/>
        <w:jc w:val="center"/>
      </w:pPr>
      <w:r>
        <w:rPr>
          <w:rFonts w:ascii="Figtree" w:hAnsi="Figtree"/>
          <w:b/>
          <w:color w:val="212529"/>
          <w:sz w:val="52"/>
        </w:rPr>
        <w:t>From Outreach to Infrastructure:</w:t>
        <w:br/>
        <w:t>Reframing Digital Investment</w:t>
      </w:r>
    </w:p>
    <w:p>
      <w:pPr>
        <w:spacing w:after="480" w:before="0"/>
        <w:jc w:val="center"/>
      </w:pPr>
      <w:r>
        <w:rPr>
          <w:rFonts w:ascii="Open Sans" w:hAnsi="Open Sans"/>
          <w:b w:val="0"/>
          <w:color w:val="495057"/>
          <w:sz w:val="24"/>
        </w:rPr>
        <w:t>Why the nonprofit sector must shift from tactical marketing spending</w:t>
        <w:br/>
        <w:t>to systemic digital capacity building.</w:t>
      </w:r>
    </w:p>
    <w:p>
      <w:pPr>
        <w:spacing w:before="80" w:after="80"/>
      </w:pPr>
      <w:r>
        <w:rPr>
          <w:color w:val="DEE2E6"/>
          <w:sz w:val="12"/>
        </w:rPr>
        <w:t>────────────────────────────────────────────────────────────────────────</w:t>
      </w:r>
    </w:p>
    <w:p>
      <w:pPr>
        <w:spacing w:after="120" w:before="0"/>
      </w:pPr>
      <w:r>
        <w:rPr>
          <w:rFonts w:ascii="Open Sans" w:hAnsi="Open Sans"/>
          <w:b w:val="0"/>
          <w:color w:val="495057"/>
          <w:sz w:val="16"/>
        </w:rPr>
      </w:r>
    </w:p>
    <w:p>
      <w:pPr>
        <w:spacing w:after="80" w:before="0"/>
        <w:jc w:val="center"/>
      </w:pPr>
      <w:r>
        <w:rPr>
          <w:rFonts w:ascii="Open Sans" w:hAnsi="Open Sans"/>
          <w:b/>
          <w:color w:val="2D6A4F"/>
          <w:sz w:val="22"/>
        </w:rPr>
        <w:t>National Institute for Nonprofit Digital Advancement</w:t>
      </w:r>
    </w:p>
    <w:p>
      <w:pPr>
        <w:spacing w:after="80" w:before="0"/>
        <w:jc w:val="center"/>
      </w:pPr>
      <w:r>
        <w:rPr>
          <w:rFonts w:ascii="Open Sans" w:hAnsi="Open Sans"/>
          <w:b w:val="0"/>
          <w:color w:val="868E96"/>
          <w:sz w:val="18"/>
        </w:rPr>
        <w:t>NINDA</w:t>
      </w:r>
    </w:p>
    <w:p>
      <w:pPr>
        <w:spacing w:after="40" w:before="0"/>
        <w:jc w:val="center"/>
      </w:pPr>
      <w:r>
        <w:rPr>
          <w:rFonts w:ascii="Open Sans" w:hAnsi="Open Sans"/>
          <w:b w:val="0"/>
          <w:color w:val="868E96"/>
          <w:sz w:val="18"/>
        </w:rPr>
        <w:t>Preliminary Draft — 2026</w:t>
      </w:r>
    </w:p>
    <w:p>
      <w:pPr>
        <w:spacing w:after="120" w:before="0"/>
        <w:jc w:val="center"/>
      </w:pPr>
      <w:r>
        <w:rPr>
          <w:rFonts w:ascii="Open Sans" w:hAnsi="Open Sans"/>
          <w:b w:val="0"/>
          <w:color w:val="2D6A4F"/>
          <w:sz w:val="18"/>
        </w:rPr>
        <w:t>www.ninda.org</w:t>
      </w:r>
    </w:p>
    <w:p>
      <w:r>
        <w:br w:type="page"/>
      </w:r>
    </w:p>
    <w:p>
      <w:pPr>
        <w:spacing w:after="320" w:before="0"/>
      </w:pPr>
      <w:r>
        <w:rPr>
          <w:rFonts w:ascii="Open Sans" w:hAnsi="Open Sans"/>
          <w:b w:val="0"/>
          <w:color w:val="868E96"/>
          <w:sz w:val="16"/>
        </w:rPr>
        <w:t>PRELIMINARY DRAFT — This document is a concept draft produced during the formation phase of the National Institute for Nonprofit Digital Advancement (NINDA). It is intended for internal planning, stakeholder alignment, and institutional positioning purposes. Data points cited are drawn from publicly available sector research and should be independently verified before use in grant applications, public communications, or policy recommendations.</w:t>
      </w:r>
    </w:p>
    <w:p>
      <w:pPr>
        <w:spacing w:before="80" w:after="80"/>
      </w:pPr>
      <w:r>
        <w:rPr>
          <w:color w:val="DEE2E6"/>
          <w:sz w:val="12"/>
        </w:rPr>
        <w:t>────────────────────────────────────────────────────────────────────────</w:t>
      </w:r>
    </w:p>
    <w:p>
      <w:pPr>
        <w:pStyle w:val="Heading1"/>
      </w:pPr>
      <w:r>
        <w:rPr>
          <w:rFonts w:ascii="Figtree" w:hAnsi="Figtree"/>
          <w:color w:val="212529"/>
        </w:rPr>
        <w:t>Executive Summary</w:t>
      </w:r>
    </w:p>
    <w:p>
      <w:pPr>
        <w:spacing w:after="120" w:before="0"/>
      </w:pPr>
      <w:r>
        <w:rPr>
          <w:rFonts w:ascii="Open Sans" w:hAnsi="Open Sans"/>
          <w:b w:val="0"/>
          <w:color w:val="495057"/>
          <w:sz w:val="22"/>
        </w:rPr>
        <w:t>For too long, the nonprofit sector has equated "going digital" with launching social media accounts, running online ad campaigns, or redesigning a website. While these activities have value, they represent tactical investments — not the systemic infrastructure building that creates lasting organizational capacity.</w:t>
      </w:r>
    </w:p>
    <w:p>
      <w:pPr>
        <w:spacing w:after="120" w:before="0"/>
      </w:pPr>
      <w:r>
        <w:rPr>
          <w:rFonts w:ascii="Open Sans" w:hAnsi="Open Sans"/>
          <w:b w:val="0"/>
          <w:color w:val="495057"/>
          <w:sz w:val="22"/>
        </w:rPr>
        <w:t>This whitepaper argues that the sector needs a fundamental reframe: from outreach-first thinking to infrastructure-first thinking. The organizations that will thrive in the coming decade are those that invest in foundational digital systems — CRM platforms, data management, integrated communications, and strategic planning capacity — rather than chasing campaign-level results.</w:t>
      </w:r>
    </w:p>
    <w:p>
      <w:pPr>
        <w:pStyle w:val="Heading1"/>
      </w:pPr>
      <w:r>
        <w:rPr>
          <w:rFonts w:ascii="Figtree" w:hAnsi="Figtree"/>
          <w:color w:val="212529"/>
        </w:rPr>
        <w:t>The Outreach Trap</w:t>
      </w:r>
    </w:p>
    <w:p>
      <w:pPr>
        <w:spacing w:after="120" w:before="0"/>
      </w:pPr>
      <w:r>
        <w:rPr>
          <w:rFonts w:ascii="Open Sans" w:hAnsi="Open Sans"/>
          <w:b w:val="0"/>
          <w:color w:val="495057"/>
          <w:sz w:val="22"/>
        </w:rPr>
        <w:t>Many nonprofits enter the digital space through outreach — a Facebook page, an email newsletter, a Google Ad Grant. These tools create visibility, but they do not build capacity. When the campaign ends, the organization is left with no better infrastructure than it had before.</w:t>
      </w:r>
    </w:p>
    <w:p>
      <w:pPr>
        <w:spacing w:after="120" w:before="0"/>
      </w:pPr>
      <w:r>
        <w:rPr>
          <w:rFonts w:ascii="Open Sans" w:hAnsi="Open Sans"/>
          <w:b w:val="0"/>
          <w:color w:val="495057"/>
          <w:sz w:val="22"/>
        </w:rPr>
        <w:t>Common symptoms of outreach-first thinking:</w:t>
      </w:r>
    </w:p>
    <w:p>
      <w:pPr>
        <w:spacing w:after="80" w:before="0"/>
      </w:pPr>
      <w:r>
        <w:rPr>
          <w:rFonts w:ascii="Open Sans" w:hAnsi="Open Sans"/>
          <w:b w:val="0"/>
          <w:color w:val="495057"/>
          <w:sz w:val="22"/>
        </w:rPr>
        <w:t>•  Multiple disconnected digital tools with no integration</w:t>
      </w:r>
    </w:p>
    <w:p>
      <w:pPr>
        <w:spacing w:after="80" w:before="0"/>
      </w:pPr>
      <w:r>
        <w:rPr>
          <w:rFonts w:ascii="Open Sans" w:hAnsi="Open Sans"/>
          <w:b w:val="0"/>
          <w:color w:val="495057"/>
          <w:sz w:val="22"/>
        </w:rPr>
        <w:t>•  Social media activity without audience development strategy</w:t>
      </w:r>
    </w:p>
    <w:p>
      <w:pPr>
        <w:spacing w:after="80" w:before="0"/>
      </w:pPr>
      <w:r>
        <w:rPr>
          <w:rFonts w:ascii="Open Sans" w:hAnsi="Open Sans"/>
          <w:b w:val="0"/>
          <w:color w:val="495057"/>
          <w:sz w:val="22"/>
        </w:rPr>
        <w:t>•  Email lists with no segmentation, automation, or lifecycle management</w:t>
      </w:r>
    </w:p>
    <w:p>
      <w:pPr>
        <w:spacing w:after="80" w:before="0"/>
      </w:pPr>
      <w:r>
        <w:rPr>
          <w:rFonts w:ascii="Open Sans" w:hAnsi="Open Sans"/>
          <w:b w:val="0"/>
          <w:color w:val="495057"/>
          <w:sz w:val="22"/>
        </w:rPr>
        <w:t>•  Website redesigns that don't address underlying content or CRM infrastructure</w:t>
      </w:r>
    </w:p>
    <w:p>
      <w:pPr>
        <w:spacing w:after="80" w:before="0"/>
      </w:pPr>
      <w:r>
        <w:rPr>
          <w:rFonts w:ascii="Open Sans" w:hAnsi="Open Sans"/>
          <w:b w:val="0"/>
          <w:color w:val="495057"/>
          <w:sz w:val="22"/>
        </w:rPr>
        <w:t>•  Dependence on individual staff knowledge rather than organizational systems</w:t>
      </w:r>
    </w:p>
    <w:p>
      <w:pPr>
        <w:spacing w:after="80" w:before="0"/>
      </w:pPr>
      <w:r>
        <w:rPr>
          <w:rFonts w:ascii="Open Sans" w:hAnsi="Open Sans"/>
          <w:b w:val="0"/>
          <w:color w:val="495057"/>
          <w:sz w:val="22"/>
        </w:rPr>
        <w:t>•  No data strategy connecting digital activities to organizational outcomes</w:t>
      </w:r>
    </w:p>
    <w:p>
      <w:pPr>
        <w:pStyle w:val="Heading1"/>
      </w:pPr>
      <w:r>
        <w:rPr>
          <w:rFonts w:ascii="Figtree" w:hAnsi="Figtree"/>
          <w:color w:val="212529"/>
        </w:rPr>
        <w:t>The Infrastructure Alternative</w:t>
      </w:r>
    </w:p>
    <w:p>
      <w:pPr>
        <w:spacing w:after="120" w:before="0"/>
      </w:pPr>
      <w:r>
        <w:rPr>
          <w:rFonts w:ascii="Open Sans" w:hAnsi="Open Sans"/>
          <w:b w:val="0"/>
          <w:color w:val="495057"/>
          <w:sz w:val="22"/>
        </w:rPr>
        <w:t>Infrastructure-first thinking starts with a different question: "What systems does our organization need to sustainably engage stakeholders, manage relationships, and measure impact over time?"</w:t>
      </w:r>
    </w:p>
    <w:p>
      <w:pPr>
        <w:spacing w:after="120" w:before="0"/>
      </w:pPr>
      <w:r>
        <w:rPr>
          <w:rFonts w:ascii="Open Sans" w:hAnsi="Open Sans"/>
          <w:b w:val="0"/>
          <w:color w:val="495057"/>
          <w:sz w:val="22"/>
        </w:rPr>
        <w:t>Core digital infrastructure components for nonprofits:</w:t>
      </w:r>
    </w:p>
    <w:p>
      <w:pPr>
        <w:spacing w:after="120" w:before="200"/>
      </w:pPr>
      <w:r>
        <w:rPr>
          <w:rFonts w:ascii="Open Sans" w:hAnsi="Open Sans"/>
          <w:b/>
          <w:color w:val="2D6A4F"/>
          <w:sz w:val="22"/>
        </w:rPr>
        <w:t>Constituent Relationship Management (CRM)</w:t>
      </w:r>
    </w:p>
    <w:p>
      <w:pPr>
        <w:spacing w:after="120" w:before="0"/>
      </w:pPr>
      <w:r>
        <w:rPr>
          <w:rFonts w:ascii="Open Sans" w:hAnsi="Open Sans"/>
          <w:b w:val="0"/>
          <w:color w:val="495057"/>
          <w:sz w:val="22"/>
        </w:rPr>
        <w:t>A central system for managing all stakeholder relationships — donors, volunteers, beneficiaries, partners, and advocates.</w:t>
      </w:r>
    </w:p>
    <w:p>
      <w:pPr>
        <w:spacing w:after="120" w:before="200"/>
      </w:pPr>
      <w:r>
        <w:rPr>
          <w:rFonts w:ascii="Open Sans" w:hAnsi="Open Sans"/>
          <w:b/>
          <w:color w:val="2D6A4F"/>
          <w:sz w:val="22"/>
        </w:rPr>
        <w:t>Integrated Communications Platform</w:t>
      </w:r>
    </w:p>
    <w:p>
      <w:pPr>
        <w:spacing w:after="120" w:before="0"/>
      </w:pPr>
      <w:r>
        <w:rPr>
          <w:rFonts w:ascii="Open Sans" w:hAnsi="Open Sans"/>
          <w:b w:val="0"/>
          <w:color w:val="495057"/>
          <w:sz w:val="22"/>
        </w:rPr>
        <w:t>Email, social media, website, and content management systems that work together rather than in silos.</w:t>
      </w:r>
    </w:p>
    <w:p>
      <w:pPr>
        <w:spacing w:after="120" w:before="200"/>
      </w:pPr>
      <w:r>
        <w:rPr>
          <w:rFonts w:ascii="Open Sans" w:hAnsi="Open Sans"/>
          <w:b/>
          <w:color w:val="2D6A4F"/>
          <w:sz w:val="22"/>
        </w:rPr>
        <w:t>Data Management &amp; Analytics</w:t>
      </w:r>
    </w:p>
    <w:p>
      <w:pPr>
        <w:spacing w:after="120" w:before="0"/>
      </w:pPr>
      <w:r>
        <w:rPr>
          <w:rFonts w:ascii="Open Sans" w:hAnsi="Open Sans"/>
          <w:b w:val="0"/>
          <w:color w:val="495057"/>
          <w:sz w:val="22"/>
        </w:rPr>
        <w:t>The ability to collect, organize, and analyze data to inform decisions, demonstrate impact, and improve programs.</w:t>
      </w:r>
    </w:p>
    <w:p>
      <w:pPr>
        <w:spacing w:after="120" w:before="200"/>
      </w:pPr>
      <w:r>
        <w:rPr>
          <w:rFonts w:ascii="Open Sans" w:hAnsi="Open Sans"/>
          <w:b/>
          <w:color w:val="2D6A4F"/>
          <w:sz w:val="22"/>
        </w:rPr>
        <w:t>Content &amp; Knowledge Infrastructure</w:t>
      </w:r>
    </w:p>
    <w:p>
      <w:pPr>
        <w:spacing w:after="120" w:before="0"/>
      </w:pPr>
      <w:r>
        <w:rPr>
          <w:rFonts w:ascii="Open Sans" w:hAnsi="Open Sans"/>
          <w:b w:val="0"/>
          <w:color w:val="495057"/>
          <w:sz w:val="22"/>
        </w:rPr>
        <w:t>Systems for creating, managing, and distributing content that supports the organization's mission and engagement goals.</w:t>
      </w:r>
    </w:p>
    <w:p>
      <w:pPr>
        <w:spacing w:after="120" w:before="200"/>
      </w:pPr>
      <w:r>
        <w:rPr>
          <w:rFonts w:ascii="Open Sans" w:hAnsi="Open Sans"/>
          <w:b/>
          <w:color w:val="2D6A4F"/>
          <w:sz w:val="22"/>
        </w:rPr>
        <w:t>Digital Governance &amp; Security</w:t>
      </w:r>
    </w:p>
    <w:p>
      <w:pPr>
        <w:spacing w:after="120" w:before="0"/>
      </w:pPr>
      <w:r>
        <w:rPr>
          <w:rFonts w:ascii="Open Sans" w:hAnsi="Open Sans"/>
          <w:b w:val="0"/>
          <w:color w:val="495057"/>
          <w:sz w:val="22"/>
        </w:rPr>
        <w:t>Policies, procedures, and technical safeguards that protect organizational and stakeholder data.</w:t>
      </w:r>
    </w:p>
    <w:p>
      <w:pPr>
        <w:pStyle w:val="Heading1"/>
      </w:pPr>
      <w:r>
        <w:rPr>
          <w:rFonts w:ascii="Figtree" w:hAnsi="Figtree"/>
          <w:color w:val="212529"/>
        </w:rPr>
        <w:t>What Funders Can Do</w:t>
      </w:r>
    </w:p>
    <w:p>
      <w:pPr>
        <w:spacing w:after="120" w:before="0"/>
      </w:pPr>
      <w:r>
        <w:rPr>
          <w:rFonts w:ascii="Open Sans" w:hAnsi="Open Sans"/>
          <w:b w:val="0"/>
          <w:color w:val="495057"/>
          <w:sz w:val="22"/>
        </w:rPr>
        <w:t>The reframe from outreach to infrastructure requires funders to evolve their approach as well. Traditionally, grants for "digital" or "communications" have been project-based and time-limited. Building infrastructure requires a different kind of investment.</w:t>
      </w:r>
    </w:p>
    <w:p>
      <w:pPr>
        <w:spacing w:after="80" w:before="0"/>
      </w:pPr>
      <w:r>
        <w:rPr>
          <w:rFonts w:ascii="Open Sans" w:hAnsi="Open Sans"/>
          <w:b w:val="0"/>
          <w:color w:val="495057"/>
          <w:sz w:val="22"/>
        </w:rPr>
        <w:t>•  Fund digital infrastructure as a capital investment, not a program expense</w:t>
      </w:r>
    </w:p>
    <w:p>
      <w:pPr>
        <w:spacing w:after="80" w:before="0"/>
      </w:pPr>
      <w:r>
        <w:rPr>
          <w:rFonts w:ascii="Open Sans" w:hAnsi="Open Sans"/>
          <w:b w:val="0"/>
          <w:color w:val="495057"/>
          <w:sz w:val="22"/>
        </w:rPr>
        <w:t>•  Allow multi-year grants for technology implementation and capacity building</w:t>
      </w:r>
    </w:p>
    <w:p>
      <w:pPr>
        <w:spacing w:after="80" w:before="0"/>
      </w:pPr>
      <w:r>
        <w:rPr>
          <w:rFonts w:ascii="Open Sans" w:hAnsi="Open Sans"/>
          <w:b w:val="0"/>
          <w:color w:val="495057"/>
          <w:sz w:val="22"/>
        </w:rPr>
        <w:t>•  Support intermediaries that can aggregate expertise and reduce per-organization costs</w:t>
      </w:r>
    </w:p>
    <w:p>
      <w:pPr>
        <w:spacing w:after="80" w:before="0"/>
      </w:pPr>
      <w:r>
        <w:rPr>
          <w:rFonts w:ascii="Open Sans" w:hAnsi="Open Sans"/>
          <w:b w:val="0"/>
          <w:color w:val="495057"/>
          <w:sz w:val="22"/>
        </w:rPr>
        <w:t>•  Include digital infrastructure as an eligible expense in general operating support</w:t>
      </w:r>
    </w:p>
    <w:p>
      <w:pPr>
        <w:spacing w:after="80" w:before="0"/>
      </w:pPr>
      <w:r>
        <w:rPr>
          <w:rFonts w:ascii="Open Sans" w:hAnsi="Open Sans"/>
          <w:b w:val="0"/>
          <w:color w:val="495057"/>
          <w:sz w:val="22"/>
        </w:rPr>
        <w:t>•  Invest in sector-level research and benchmarking to inform collective strategy</w:t>
      </w:r>
    </w:p>
    <w:p>
      <w:pPr>
        <w:pStyle w:val="Heading1"/>
      </w:pPr>
      <w:r>
        <w:rPr>
          <w:rFonts w:ascii="Figtree" w:hAnsi="Figtree"/>
          <w:color w:val="212529"/>
        </w:rPr>
        <w:t>Conclusion</w:t>
      </w:r>
    </w:p>
    <w:p>
      <w:pPr>
        <w:spacing w:after="120" w:before="0"/>
      </w:pPr>
      <w:r>
        <w:rPr>
          <w:rFonts w:ascii="Open Sans" w:hAnsi="Open Sans"/>
          <w:b w:val="0"/>
          <w:color w:val="495057"/>
          <w:sz w:val="22"/>
        </w:rPr>
        <w:t>The shift from outreach to infrastructure is not about abandoning marketing or communications. It is about ensuring that those activities are built on a foundation of organizational capacity that will endure. Nonprofits that make this shift will be more resilient, more effective, and better positioned to serve their communities for the long term.</w:t>
      </w:r>
    </w:p>
    <w:p>
      <w:pPr>
        <w:spacing w:after="120" w:before="0"/>
      </w:pPr>
      <w:r>
        <w:rPr>
          <w:rFonts w:ascii="Open Sans" w:hAnsi="Open Sans"/>
          <w:b w:val="0"/>
          <w:color w:val="495057"/>
          <w:sz w:val="12"/>
        </w:rPr>
      </w:r>
    </w:p>
    <w:p>
      <w:pPr>
        <w:spacing w:before="80" w:after="80"/>
      </w:pPr>
      <w:r>
        <w:rPr>
          <w:color w:val="DEE2E6"/>
          <w:sz w:val="12"/>
        </w:rPr>
        <w:t>────────────────────────────────────────────────────────────────────────</w:t>
      </w:r>
    </w:p>
    <w:p>
      <w:pPr>
        <w:spacing w:after="0" w:before="0"/>
      </w:pPr>
      <w:r>
        <w:rPr>
          <w:rFonts w:ascii="Open Sans" w:hAnsi="Open Sans"/>
          <w:b w:val="0"/>
          <w:color w:val="868E96"/>
          <w:sz w:val="14"/>
        </w:rPr>
        <w:t>© 2026 National Institute for Nonprofit Digital Advancement (NINDA). All rights reserved. This document may not be reproduced or distributed without written permission.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